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6E1D" w14:textId="1DF8F049" w:rsidR="001F53C1" w:rsidRPr="00BF5B4C" w:rsidRDefault="001F53C1" w:rsidP="001F53C1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KLASA: </w:t>
      </w:r>
      <w:r>
        <w:rPr>
          <w:rFonts w:ascii="Calibri" w:hAnsi="Calibri" w:cs="Calibri"/>
        </w:rPr>
        <w:t>40</w:t>
      </w:r>
      <w:r w:rsidR="00CC03BF">
        <w:rPr>
          <w:rFonts w:ascii="Calibri" w:hAnsi="Calibri" w:cs="Calibri"/>
        </w:rPr>
        <w:t>0</w:t>
      </w:r>
      <w:r>
        <w:rPr>
          <w:rFonts w:ascii="Calibri" w:hAnsi="Calibri" w:cs="Calibri"/>
        </w:rPr>
        <w:t>-0</w:t>
      </w:r>
      <w:r w:rsidR="00CC03BF">
        <w:rPr>
          <w:rFonts w:ascii="Calibri" w:hAnsi="Calibri" w:cs="Calibri"/>
        </w:rPr>
        <w:t>3</w:t>
      </w:r>
      <w:r>
        <w:rPr>
          <w:rFonts w:ascii="Calibri" w:hAnsi="Calibri" w:cs="Calibri"/>
        </w:rPr>
        <w:t>/25-01/</w:t>
      </w:r>
      <w:r w:rsidR="00CC03BF">
        <w:rPr>
          <w:rFonts w:ascii="Calibri" w:hAnsi="Calibri" w:cs="Calibri"/>
        </w:rPr>
        <w:t>5</w:t>
      </w:r>
    </w:p>
    <w:p w14:paraId="2EE8229B" w14:textId="2ACBA85B" w:rsidR="001F53C1" w:rsidRPr="00BF5B4C" w:rsidRDefault="001F53C1" w:rsidP="001F53C1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URBOJ: </w:t>
      </w:r>
      <w:r>
        <w:rPr>
          <w:rFonts w:ascii="Calibri" w:hAnsi="Calibri" w:cs="Calibri"/>
        </w:rPr>
        <w:t>2176-4-01-</w:t>
      </w:r>
      <w:r w:rsidR="00CC03BF">
        <w:rPr>
          <w:rFonts w:ascii="Calibri" w:hAnsi="Calibri" w:cs="Calibri"/>
        </w:rPr>
        <w:t>25-</w:t>
      </w:r>
      <w:r>
        <w:rPr>
          <w:rFonts w:ascii="Calibri" w:hAnsi="Calibri" w:cs="Calibri"/>
        </w:rPr>
        <w:t>1</w:t>
      </w:r>
    </w:p>
    <w:p w14:paraId="1A846682" w14:textId="1BCE012D" w:rsidR="001F53C1" w:rsidRPr="00BF5B4C" w:rsidRDefault="001F53C1" w:rsidP="001F53C1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Novska,</w:t>
      </w: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17. prosinca 2025.</w:t>
      </w:r>
    </w:p>
    <w:p w14:paraId="01CCD2C1" w14:textId="53BA1A33" w:rsidR="00BF5B4C" w:rsidRPr="001F53C1" w:rsidRDefault="000B7451" w:rsidP="001F53C1">
      <w:pPr>
        <w:rPr>
          <w:rFonts w:asciiTheme="minorHAnsi" w:hAnsiTheme="minorHAnsi" w:cstheme="majorHAnsi"/>
          <w:lang w:val="hr-HR"/>
        </w:rPr>
      </w:pPr>
      <w:r w:rsidRPr="00BF5B4C">
        <w:rPr>
          <w:rFonts w:asciiTheme="minorHAnsi" w:hAnsiTheme="minorHAnsi" w:cstheme="majorHAnsi"/>
          <w:lang w:val="hr-HR"/>
        </w:rPr>
        <w:t xml:space="preserve">                      </w:t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C23006">
        <w:rPr>
          <w:rFonts w:cs="Calibri"/>
        </w:rPr>
        <w:tab/>
      </w:r>
      <w:r w:rsidR="002F2F78">
        <w:rPr>
          <w:rFonts w:cs="Calibri"/>
        </w:rPr>
        <w:t xml:space="preserve">                 </w:t>
      </w:r>
    </w:p>
    <w:p w14:paraId="56C5376D" w14:textId="36FD850B" w:rsid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 temelju članka 18. Zakona o proračunu („Narodne novine“, broj 144/21) i članka 3</w:t>
      </w:r>
      <w:r w:rsidR="001F53C1">
        <w:rPr>
          <w:rFonts w:ascii="Calibri" w:hAnsi="Calibri" w:cs="Calibri"/>
        </w:rPr>
        <w:t>7</w:t>
      </w:r>
      <w:r w:rsidRPr="00BF5B4C">
        <w:rPr>
          <w:rFonts w:ascii="Calibri" w:hAnsi="Calibri" w:cs="Calibri"/>
        </w:rPr>
        <w:t>. Statuta Grada Novske („Službeni vjesnik“, broj 8/21</w:t>
      </w:r>
      <w:r w:rsidR="00D4552D">
        <w:rPr>
          <w:rFonts w:ascii="Calibri" w:hAnsi="Calibri" w:cs="Calibri"/>
        </w:rPr>
        <w:t xml:space="preserve"> i </w:t>
      </w:r>
      <w:r w:rsidR="002F2F78">
        <w:rPr>
          <w:rFonts w:ascii="Calibri" w:hAnsi="Calibri" w:cs="Calibri"/>
        </w:rPr>
        <w:t>13/23</w:t>
      </w:r>
      <w:r w:rsidRPr="00BF5B4C">
        <w:rPr>
          <w:rFonts w:ascii="Calibri" w:hAnsi="Calibri" w:cs="Calibri"/>
        </w:rPr>
        <w:t xml:space="preserve">), Gradsko vijeće Grada Novske </w:t>
      </w:r>
      <w:r w:rsidRPr="00EF5B89">
        <w:rPr>
          <w:rFonts w:ascii="Calibri" w:hAnsi="Calibri" w:cs="Calibri"/>
        </w:rPr>
        <w:t>na</w:t>
      </w:r>
      <w:r w:rsidR="00C23006" w:rsidRPr="00EF5B89">
        <w:rPr>
          <w:rFonts w:ascii="Calibri" w:hAnsi="Calibri" w:cs="Calibri"/>
        </w:rPr>
        <w:t xml:space="preserve"> </w:t>
      </w:r>
      <w:r w:rsidR="001F53C1">
        <w:rPr>
          <w:rFonts w:ascii="Calibri" w:hAnsi="Calibri" w:cs="Calibri"/>
        </w:rPr>
        <w:t>4.</w:t>
      </w:r>
      <w:r w:rsidR="00C23006" w:rsidRPr="00EF5B89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sjednici održanoj, </w:t>
      </w:r>
      <w:r w:rsidR="001F53C1">
        <w:rPr>
          <w:rFonts w:ascii="Calibri" w:hAnsi="Calibri" w:cs="Calibri"/>
        </w:rPr>
        <w:t xml:space="preserve">17. prosinca 2025. godine, </w:t>
      </w:r>
      <w:r w:rsidRPr="00BF5B4C">
        <w:rPr>
          <w:rFonts w:ascii="Calibri" w:hAnsi="Calibri" w:cs="Calibri"/>
        </w:rPr>
        <w:t>donijelo je</w:t>
      </w:r>
    </w:p>
    <w:p w14:paraId="41952615" w14:textId="77777777" w:rsidR="00CC03BF" w:rsidRPr="00BF5B4C" w:rsidRDefault="00CC03BF" w:rsidP="00BF5B4C">
      <w:pPr>
        <w:pStyle w:val="Tijeloteksta"/>
        <w:jc w:val="both"/>
        <w:rPr>
          <w:rFonts w:ascii="Calibri" w:hAnsi="Calibri" w:cs="Calibri"/>
        </w:rPr>
      </w:pPr>
    </w:p>
    <w:p w14:paraId="66EC2377" w14:textId="77777777" w:rsidR="00BF5B4C" w:rsidRPr="00BF5B4C" w:rsidRDefault="00BF5B4C" w:rsidP="00BF5B4C">
      <w:pPr>
        <w:pStyle w:val="Naslov1"/>
        <w:rPr>
          <w:rFonts w:ascii="Calibri" w:hAnsi="Calibri" w:cs="Calibri"/>
          <w:bCs/>
          <w:sz w:val="24"/>
          <w:szCs w:val="24"/>
        </w:rPr>
      </w:pPr>
      <w:r w:rsidRPr="00BF5B4C">
        <w:rPr>
          <w:rFonts w:ascii="Calibri" w:hAnsi="Calibri" w:cs="Calibri"/>
          <w:bCs/>
          <w:sz w:val="24"/>
          <w:szCs w:val="24"/>
        </w:rPr>
        <w:t>ODLUKU</w:t>
      </w:r>
    </w:p>
    <w:p w14:paraId="0C198864" w14:textId="3AB99042" w:rsidR="00BF5B4C" w:rsidRPr="00BF5B4C" w:rsidRDefault="00BF5B4C" w:rsidP="00BF5B4C">
      <w:pPr>
        <w:jc w:val="center"/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o izvršenju Proračuna Grada Novske za 202</w:t>
      </w:r>
      <w:r w:rsidR="00F34C81">
        <w:rPr>
          <w:rFonts w:cs="Calibri"/>
          <w:b/>
          <w:bCs/>
          <w:lang w:val="hr-HR"/>
        </w:rPr>
        <w:t>6</w:t>
      </w:r>
      <w:r w:rsidRPr="00BF5B4C">
        <w:rPr>
          <w:rFonts w:cs="Calibri"/>
          <w:b/>
          <w:bCs/>
          <w:lang w:val="hr-HR"/>
        </w:rPr>
        <w:t>. godinu</w:t>
      </w:r>
    </w:p>
    <w:p w14:paraId="4A9216FB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1886CEE" w14:textId="77777777" w:rsidR="00BF5B4C" w:rsidRPr="00BF5B4C" w:rsidRDefault="00BF5B4C" w:rsidP="00BF5B4C">
      <w:pPr>
        <w:rPr>
          <w:rFonts w:cs="Calibri"/>
          <w:b/>
          <w:bCs/>
          <w:lang w:val="hr-HR"/>
        </w:rPr>
      </w:pPr>
      <w:r w:rsidRPr="00BF5B4C">
        <w:rPr>
          <w:rFonts w:cs="Calibri"/>
          <w:b/>
          <w:bCs/>
          <w:lang w:val="hr-HR"/>
        </w:rPr>
        <w:t>I. OPĆE ODREDBE</w:t>
      </w:r>
    </w:p>
    <w:p w14:paraId="49C7C6D2" w14:textId="77777777" w:rsidR="00BF5B4C" w:rsidRPr="00BF5B4C" w:rsidRDefault="00BF5B4C" w:rsidP="00BF5B4C">
      <w:pPr>
        <w:jc w:val="center"/>
        <w:rPr>
          <w:rFonts w:cs="Calibri"/>
          <w:lang w:val="hr-HR"/>
        </w:rPr>
      </w:pPr>
    </w:p>
    <w:p w14:paraId="31045ED2" w14:textId="24B94AEE" w:rsidR="00BF5B4C" w:rsidRPr="00BF5B4C" w:rsidRDefault="00BF5B4C" w:rsidP="00BF5B4C">
      <w:pPr>
        <w:jc w:val="center"/>
        <w:rPr>
          <w:rFonts w:cs="Calibri"/>
          <w:lang w:val="hr-HR"/>
        </w:rPr>
      </w:pPr>
      <w:r w:rsidRPr="00BF5B4C">
        <w:rPr>
          <w:rFonts w:cs="Calibri"/>
          <w:lang w:val="hr-HR"/>
        </w:rPr>
        <w:t>Članak 1.</w:t>
      </w:r>
    </w:p>
    <w:p w14:paraId="0FB666BF" w14:textId="4ED8586F" w:rsid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>Ovom Odlukom uređuju se prihodi, primici, rashodi i izdaci proračuna Grada Novske za 202</w:t>
      </w:r>
      <w:r w:rsidR="00A417CD">
        <w:rPr>
          <w:rFonts w:cs="Calibri"/>
          <w:lang w:val="hr-HR"/>
        </w:rPr>
        <w:t>5</w:t>
      </w:r>
      <w:r w:rsidRPr="00BF5B4C">
        <w:rPr>
          <w:rFonts w:cs="Calibri"/>
          <w:lang w:val="hr-HR"/>
        </w:rPr>
        <w:t xml:space="preserve">. godinu (dalje u tekstu: Proračun) i njegovo izvršavanje, opseg zaduživanja i jamstava, korištenje namjenskih prihoda i primitaka, prava i obveze korisnika proračunskih sredstava, pojedine ovlasti Gradonačelnika i pročelnika upravnih odjela. </w:t>
      </w:r>
    </w:p>
    <w:p w14:paraId="0E2E621D" w14:textId="77777777" w:rsidR="00BF5B4C" w:rsidRPr="00BF5B4C" w:rsidRDefault="00BF5B4C" w:rsidP="00BF5B4C">
      <w:pPr>
        <w:jc w:val="both"/>
        <w:rPr>
          <w:rFonts w:cs="Calibri"/>
          <w:lang w:val="hr-HR"/>
        </w:rPr>
      </w:pPr>
    </w:p>
    <w:p w14:paraId="639079A9" w14:textId="77777777" w:rsidR="00BF5B4C" w:rsidRPr="00BF5B4C" w:rsidRDefault="00BF5B4C" w:rsidP="00BF5B4C">
      <w:pPr>
        <w:jc w:val="both"/>
        <w:rPr>
          <w:rFonts w:cs="Calibri"/>
          <w:lang w:val="hr-HR"/>
        </w:rPr>
      </w:pPr>
      <w:r w:rsidRPr="00BF5B4C">
        <w:rPr>
          <w:rFonts w:cs="Calibri"/>
          <w:lang w:val="hr-HR"/>
        </w:rPr>
        <w:t xml:space="preserve">Riječi i pojmovi koji se koriste u ovoj Odluci, a koji  imaju rodno značenje, odnose se jednako na muški i ženski rod, bez obzira u kojem su rodu navedeni. </w:t>
      </w:r>
    </w:p>
    <w:p w14:paraId="38984527" w14:textId="77777777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</w:p>
    <w:p w14:paraId="097E7B09" w14:textId="0279972C" w:rsidR="00BF5B4C" w:rsidRPr="00BF5B4C" w:rsidRDefault="00BF5B4C" w:rsidP="00BF5B4C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</w:t>
      </w:r>
      <w:r w:rsidRPr="00BF5B4C">
        <w:rPr>
          <w:rFonts w:ascii="Calibri" w:hAnsi="Calibri" w:cs="Calibri"/>
        </w:rPr>
        <w:t>Članak 2</w:t>
      </w:r>
      <w:r>
        <w:rPr>
          <w:rFonts w:ascii="Calibri" w:hAnsi="Calibri" w:cs="Calibri"/>
        </w:rPr>
        <w:t>.</w:t>
      </w:r>
    </w:p>
    <w:p w14:paraId="5442C54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Korisnici Proračuna u smislu ove Odluke su: </w:t>
      </w:r>
    </w:p>
    <w:p w14:paraId="20966FA3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Tijela gradske uprave</w:t>
      </w:r>
    </w:p>
    <w:p w14:paraId="464580F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Mjesni odbori</w:t>
      </w:r>
    </w:p>
    <w:p w14:paraId="7370E814" w14:textId="77777777" w:rsidR="00BF5B4C" w:rsidRP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Vijeća nacionalnih manjina</w:t>
      </w:r>
    </w:p>
    <w:p w14:paraId="66913A18" w14:textId="5928C7A3" w:rsidR="00BF5B4C" w:rsidRDefault="00BF5B4C" w:rsidP="00BF5B4C">
      <w:pPr>
        <w:pStyle w:val="Tijeloteksta"/>
        <w:numPr>
          <w:ilvl w:val="0"/>
          <w:numId w:val="8"/>
        </w:numPr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Ustanove kojima je Grad osnivač i koje se nalaze u popisu Registra proračunskih i izvanproračunskih korisnika (proračunski korisnici)</w:t>
      </w:r>
    </w:p>
    <w:p w14:paraId="0C7F9342" w14:textId="77777777" w:rsidR="00BF5B4C" w:rsidRPr="00BF5B4C" w:rsidRDefault="00BF5B4C" w:rsidP="00BF5B4C">
      <w:pPr>
        <w:pStyle w:val="Tijeloteksta"/>
        <w:spacing w:after="0"/>
        <w:ind w:left="1440"/>
        <w:jc w:val="both"/>
        <w:rPr>
          <w:rFonts w:ascii="Calibri" w:hAnsi="Calibri" w:cs="Calibri"/>
        </w:rPr>
      </w:pPr>
    </w:p>
    <w:p w14:paraId="6B2D2216" w14:textId="7C7E4745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II. IZVRŠAVANJE PRORAČUNA</w:t>
      </w:r>
    </w:p>
    <w:p w14:paraId="3D81A05A" w14:textId="77777777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3.</w:t>
      </w:r>
    </w:p>
    <w:p w14:paraId="382F908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Proračunska sredstva se mogu koristit samo za namjene utvrđene u Proračunu i to do visine utvrđene u posebnom dijelu Proračuna, prema načelima štednje i racionalnog korištenja odobrenih sredstava. </w:t>
      </w:r>
    </w:p>
    <w:p w14:paraId="13C884A8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U svrhu namjenskog i racionalnog korištenja proračunskih sredstava svi korisnici Proračuna dužni su primjenjivati fiskalna pravila prema Zakonu o fiskalnoj odgovornosti („Narodne novine“, broj 111/18) te osigurati sustav nadzora i kontrole nad trošenjem proračunskih sredstava. </w:t>
      </w:r>
    </w:p>
    <w:p w14:paraId="7C9299FC" w14:textId="74FCE4D3" w:rsidR="00BF5B4C" w:rsidRPr="00BF5B4C" w:rsidRDefault="00BF5B4C" w:rsidP="00BF5B4C">
      <w:pPr>
        <w:pStyle w:val="Tijeloteksta"/>
        <w:jc w:val="both"/>
        <w:rPr>
          <w:rFonts w:ascii="Calibri" w:hAnsi="Calibri" w:cs="Calibri"/>
          <w:u w:val="single"/>
        </w:rPr>
      </w:pPr>
      <w:r w:rsidRPr="00BF5B4C">
        <w:rPr>
          <w:rFonts w:ascii="Calibri" w:hAnsi="Calibri" w:cs="Calibri"/>
        </w:rPr>
        <w:t xml:space="preserve">Pročelnici tijela gradske uprave te čelnici proračunskih korisnika  odgovorni su za planiranje i izvršavanje svog dijela financijskog plana. Odgovornost za izvršavanje Proračuna podrazumijeva odgovornost za preuzimanje i verifikaciju obveza prema Pravilniku o postupku jednostavne nabave. Pročelnik tijela gradske uprave dužan je nadzirati poslovanje i namjensko korištenje proračunskih sredstava kod korisnika Proračuna iz svoje nadležnosti, te nadzirati korištenje subvencija, donacija i pomoći kod krajnjeg korisnika. </w:t>
      </w:r>
    </w:p>
    <w:p w14:paraId="34F222A3" w14:textId="24E371BC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4.</w:t>
      </w:r>
    </w:p>
    <w:p w14:paraId="4827A3A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Proračunski korisnici mogu preuzeti obveze po ugovorima koji zahtijevaju plaćanje u sljedećim godinama, uz suglasnost Gradonačelnika, a na prijedlog pročelnika nadležnog za financije.</w:t>
      </w:r>
    </w:p>
    <w:p w14:paraId="33BF033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Plaćanja koja proizlaze iz obveza preuzetih u skladu s ovim člankom, proračunski korisnici moraju kao obvezu uključiti u financijski plan u godini u kojoj obveza dospijeva. </w:t>
      </w:r>
    </w:p>
    <w:p w14:paraId="41EBD1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Ukoliko tijekom godine zbog nepredviđenih okolnosti dođe do neplaniranih ostvarenja namjenskih i vlastitih prihoda te rashoda koji se financiraju iz tih prihoda, proračunski korisnici Grada Novske mogu provesti postupak izmjena i dopuna svog financijskog plana bez prethodne suglasnosti nadležnog proračuna, odnosno bez izmjena i dopuna proračuna.</w:t>
      </w:r>
    </w:p>
    <w:p w14:paraId="0EBF47F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O izvršenim izmjenama i dopuna svog financijskog plana na stavkama prihoda/rashoda s izvorom vlastiti i namjenski prihodi, proračunski korisnici su dužni u roku od osam (8) dana od dana donošenja Odluke na svojim upravnim tijelima, izvijestiti nadležni upravni odjel. </w:t>
      </w:r>
    </w:p>
    <w:p w14:paraId="5B38DF0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12A96806" w14:textId="0FB610EF" w:rsidR="00BF5B4C" w:rsidRPr="00330D0E" w:rsidRDefault="00BF5B4C" w:rsidP="00BF5B4C">
      <w:pPr>
        <w:pStyle w:val="Tijeloteksta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Prihodi i primici</w:t>
      </w:r>
    </w:p>
    <w:p w14:paraId="436C4927" w14:textId="56B44A42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5.</w:t>
      </w:r>
    </w:p>
    <w:p w14:paraId="1119CECC" w14:textId="58DC4802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proračuna odgovorn</w:t>
      </w:r>
      <w:r w:rsidR="005A719C">
        <w:rPr>
          <w:rFonts w:ascii="Calibri" w:hAnsi="Calibri" w:cs="Calibri"/>
        </w:rPr>
        <w:t>i</w:t>
      </w:r>
      <w:r w:rsidRPr="00BF5B4C">
        <w:rPr>
          <w:rFonts w:ascii="Calibri" w:hAnsi="Calibri" w:cs="Calibri"/>
        </w:rPr>
        <w:t xml:space="preserve"> su za potpunu i pravodobnu naplatu prihoda i primitaka iz svoje nadležnosti, za njihovu uplatu u proračun i za izvršavanje svih rashoda i izdataka u skladu s namjenama.</w:t>
      </w:r>
    </w:p>
    <w:p w14:paraId="261F227B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Prihodi proračuna ubiru se i uplaćuju u proračun  u skladu sa zakonom ili drugim propisima, neovisno o visini prihoda planiranih u proračunu. </w:t>
      </w:r>
    </w:p>
    <w:p w14:paraId="137A8F4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Pogrešno ili više uplaćeni prihodi u proračun, vraćaju se uplatiteljima na teret tih prihoda. Pogrešno ili više uplaćeni prihodi koji su uplaćeni prethodnih godina, vraćaju se uplatiteljima na teret rashoda proračuna.</w:t>
      </w:r>
    </w:p>
    <w:p w14:paraId="5FD7019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Rješenje o povratu pogrešno ili više uplaćenih prihoda u proračun donosi nadležni upravni odjel.</w:t>
      </w:r>
    </w:p>
    <w:p w14:paraId="5664C82F" w14:textId="5B9BF25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proračuna Grada Novske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su prihodi pomoći, prihodi za posebne namjene, prihodi od prodaje ili zamjene imovine u vlasništvu Grada, primici od financijske imovine i zaduživanja i drugi prihodi u skladu s odredbama članka 52. Zakona o proračunu („Narodne novine“, broj 144/21).</w:t>
      </w:r>
    </w:p>
    <w:p w14:paraId="43A9A841" w14:textId="47140DE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Ako su namjenski prihodi i primici uplaćeni u nižem opsegu nego što je iskazano u proračunu, korisnik može preuzeti i plaćati obveze samo u visini stvarno uplaćenih, odnosno raspoloživih sredstava. Rashodi i izdaci financirani iz namjenskih prihoda mogu se izvršavati iznad planiranih iznosa, a do visine uplaćenih odnosno prenesenih sredstava. </w:t>
      </w:r>
    </w:p>
    <w:p w14:paraId="5EA89F60" w14:textId="393F28FC" w:rsidR="00BF5B4C" w:rsidRPr="00330D0E" w:rsidRDefault="00BF5B4C" w:rsidP="00BF5B4C">
      <w:pPr>
        <w:pStyle w:val="StandardWeb"/>
        <w:spacing w:after="0" w:afterAutospacing="0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Vlastiti prihodi</w:t>
      </w:r>
    </w:p>
    <w:p w14:paraId="05F716F2" w14:textId="77777777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</w:p>
    <w:p w14:paraId="455AA8AA" w14:textId="6767611D" w:rsidR="00BF5B4C" w:rsidRPr="00BF5B4C" w:rsidRDefault="00BF5B4C" w:rsidP="00BF5B4C">
      <w:pPr>
        <w:pStyle w:val="StandardWeb"/>
        <w:spacing w:before="0" w:beforeAutospacing="0" w:after="0" w:afterAutospacing="0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Članak 6.</w:t>
      </w:r>
    </w:p>
    <w:p w14:paraId="4205511B" w14:textId="77777777" w:rsidR="00BF5B4C" w:rsidRPr="00BF5B4C" w:rsidRDefault="00BF5B4C" w:rsidP="00BF5B4C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BF5B4C">
        <w:rPr>
          <w:rFonts w:ascii="Calibri" w:hAnsi="Calibri" w:cs="Calibri"/>
          <w:color w:val="000000"/>
        </w:rPr>
        <w:t xml:space="preserve">Vlastiti prihodi proračunskih korisnika Grada Novske jesu prihodi koje proračunski korisnici  ostvaruju od obavljanja poslova na tržištu i u tržišnim uvjetima, a koje poslove mogu obavljati i drugi subjekti izvan općeg proračuna.  </w:t>
      </w:r>
    </w:p>
    <w:p w14:paraId="228867F6" w14:textId="4CE23579" w:rsidR="00A417CD" w:rsidRPr="00330D0E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Namjenski prihodi i primici kao i vlastiti prihodi i primici proračunski korisni</w:t>
      </w:r>
      <w:r w:rsidR="00DD7DD3">
        <w:rPr>
          <w:rFonts w:ascii="Calibri" w:hAnsi="Calibri" w:cs="Calibri"/>
        </w:rPr>
        <w:t>ci</w:t>
      </w:r>
      <w:r w:rsidRPr="00BF5B4C">
        <w:rPr>
          <w:rFonts w:ascii="Calibri" w:hAnsi="Calibri" w:cs="Calibri"/>
        </w:rPr>
        <w:t xml:space="preserve"> Grada Novske uplaćuju se  na jedinstveni račun proračuna Grada Novske.</w:t>
      </w:r>
      <w:r w:rsidR="0032206B">
        <w:rPr>
          <w:rFonts w:ascii="Calibri" w:hAnsi="Calibri" w:cs="Calibri"/>
        </w:rPr>
        <w:t xml:space="preserve"> </w:t>
      </w:r>
    </w:p>
    <w:p w14:paraId="6EA786BF" w14:textId="70986C87" w:rsidR="00BF5B4C" w:rsidRPr="00330D0E" w:rsidRDefault="00BF5B4C" w:rsidP="00BF5B4C">
      <w:pPr>
        <w:pStyle w:val="Tijeloteksta"/>
        <w:ind w:firstLine="708"/>
        <w:jc w:val="center"/>
        <w:rPr>
          <w:rFonts w:ascii="Calibri" w:hAnsi="Calibri" w:cs="Calibri"/>
        </w:rPr>
      </w:pPr>
      <w:r w:rsidRPr="00330D0E">
        <w:rPr>
          <w:rFonts w:ascii="Calibri" w:hAnsi="Calibri" w:cs="Calibri"/>
        </w:rPr>
        <w:t>Isplata sredstava iz proračuna</w:t>
      </w:r>
    </w:p>
    <w:p w14:paraId="2C9256CC" w14:textId="2AA4745D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</w:t>
      </w:r>
      <w:r w:rsidRPr="00BF5B4C">
        <w:rPr>
          <w:rFonts w:ascii="Calibri" w:hAnsi="Calibri" w:cs="Calibri"/>
        </w:rPr>
        <w:t>Članak 7.</w:t>
      </w:r>
    </w:p>
    <w:p w14:paraId="0518ABD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Svaki rashod i izdatak iz proračuna mora se temeljiti na vjerodostojnoj knjigovodstvenoj dokumentaciji kojom se dokazuje obveza plaćanja. Plaćanje dospjelih obveza korisnika proračuna i proračunskih korisnika proračuna Grada Novske vrši se uz predočenje dokumentacije (zahtjev, račun i sl.) iz koje je vidljivo da je realizacija programa započeta, u tijeku ili završena.</w:t>
      </w:r>
    </w:p>
    <w:p w14:paraId="5BD7BAEF" w14:textId="58508B6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Odgovorna osoba upravnog odjela iz čijeg se financijskog plana isplaćuju sredstva, mora prije isplate provjeriti i potpisati pravni temelj i visinu obveze koja proizlazi iz knjigovodstvene isprave pozivom na programa, projekt/aktivnost i redni broj pozicije proračuna.</w:t>
      </w:r>
    </w:p>
    <w:p w14:paraId="5B6CDB4F" w14:textId="1F8F6A2B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</w:t>
      </w:r>
      <w:r w:rsidRPr="00BF5B4C">
        <w:rPr>
          <w:rFonts w:ascii="Calibri" w:hAnsi="Calibri" w:cs="Calibri"/>
        </w:rPr>
        <w:t>Članak 8.</w:t>
      </w:r>
    </w:p>
    <w:p w14:paraId="2996D4D7" w14:textId="53575479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Ako se u tijeku izvršavanja Proračuna utvrdi da su sredstva proračuna nepravilno korištena, korisniku će se privremeno obustaviti isplata sredstava, a nadležni upravni odjel dužan je odmah zahtijevati povrat sredstava. </w:t>
      </w:r>
    </w:p>
    <w:p w14:paraId="5585DEEF" w14:textId="3CC7AD7C" w:rsidR="00BF5B4C" w:rsidRPr="00BF5B4C" w:rsidRDefault="00BF5B4C" w:rsidP="00BF5B4C">
      <w:pPr>
        <w:pStyle w:val="Tijeloteksta"/>
        <w:tabs>
          <w:tab w:val="left" w:pos="2040"/>
        </w:tabs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</w:t>
      </w:r>
      <w:r w:rsidRPr="00BF5B4C">
        <w:rPr>
          <w:rFonts w:ascii="Calibri" w:hAnsi="Calibri" w:cs="Calibri"/>
        </w:rPr>
        <w:t>Članak 9.</w:t>
      </w:r>
    </w:p>
    <w:p w14:paraId="0BC66400" w14:textId="7C0BE3DB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Korisnik proračuna može plaćati temeljem ponude/predračuna bez suglasnosti Gradonačelnika do pojedinačnog iznosa </w:t>
      </w:r>
      <w:r w:rsidRPr="00330D0E">
        <w:rPr>
          <w:rFonts w:ascii="Calibri" w:hAnsi="Calibri" w:cs="Calibri"/>
        </w:rPr>
        <w:t>do 6.636,14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, bez poreza na dodanu vrijednost. </w:t>
      </w:r>
    </w:p>
    <w:p w14:paraId="54F6FA10" w14:textId="2F8B3DE9" w:rsid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može odobriti plaćanje predujmom (ponuda/predračun/ugovor) do </w:t>
      </w:r>
      <w:r w:rsidR="00C23006">
        <w:rPr>
          <w:rFonts w:ascii="Calibri" w:hAnsi="Calibri" w:cs="Calibri"/>
        </w:rPr>
        <w:t>27.000,00</w:t>
      </w:r>
      <w:r w:rsidRPr="00BF5B4C">
        <w:rPr>
          <w:rFonts w:ascii="Calibri" w:hAnsi="Calibri" w:cs="Calibri"/>
        </w:rPr>
        <w:t xml:space="preserve"> </w:t>
      </w:r>
      <w:r w:rsidR="00A67398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 xml:space="preserve"> (bez poreza na dodanu vrijednost) za nabavu roba i usluga.  </w:t>
      </w:r>
    </w:p>
    <w:p w14:paraId="6C6C2161" w14:textId="6901464A" w:rsidR="0032206B" w:rsidRPr="0032206B" w:rsidRDefault="0032206B" w:rsidP="00BF5B4C">
      <w:pPr>
        <w:pStyle w:val="Tijeloteksta"/>
        <w:jc w:val="both"/>
        <w:rPr>
          <w:rFonts w:asciiTheme="minorHAnsi" w:hAnsiTheme="minorHAnsi" w:cstheme="minorHAnsi"/>
        </w:rPr>
      </w:pPr>
      <w:r w:rsidRPr="0032206B">
        <w:rPr>
          <w:rFonts w:asciiTheme="minorHAnsi" w:hAnsiTheme="minorHAnsi" w:cstheme="minorHAnsi"/>
          <w:color w:val="231F20"/>
          <w:shd w:val="clear" w:color="auto" w:fill="FFFFFF"/>
        </w:rPr>
        <w:t>Ako primatelj sredstava predujma nije isporučio robu, radove i usluge u skladu s rokom i namjenom za koje je predujam isplaćen, korisnik je obvezan zatražiti povrat sredstava odnosno poduzeti sve radnje za povrat isplaćenog predujma.</w:t>
      </w:r>
    </w:p>
    <w:p w14:paraId="10099CB1" w14:textId="1D2A323C" w:rsidR="00BF5B4C" w:rsidRPr="00BF5B4C" w:rsidRDefault="00BF5B4C" w:rsidP="00330D0E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Instrumente osiguranja plaćanja, kojima se na teret Proračuna stvaraju obveze, izdaje Upravni odjel za proračun i financije, a potpisuje Gradonačelnik. Instrumenti osiguranja plaćanja primljeni od pravnih osoba kao sredstvo osiguranja naplate potraživanja ili izvođenja radova i usluga dostavljaju se Upravnom odjelu za proračun i financije. Evidenciju izdanih i primljenih instrumenata osiguranja plaćanja vodi Upravni odjel za proračun i financije</w:t>
      </w:r>
    </w:p>
    <w:p w14:paraId="5EF6B0B2" w14:textId="53ADD3FB" w:rsidR="00BF5B4C" w:rsidRPr="00BF5B4C" w:rsidRDefault="00BF5B4C" w:rsidP="00BF5B4C">
      <w:pPr>
        <w:pStyle w:val="Tijeloteksta"/>
        <w:ind w:left="3540" w:firstLine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      </w:t>
      </w:r>
      <w:r w:rsidRPr="00BF5B4C">
        <w:rPr>
          <w:rFonts w:ascii="Calibri" w:hAnsi="Calibri" w:cs="Calibri"/>
        </w:rPr>
        <w:t>Članak 10.</w:t>
      </w:r>
    </w:p>
    <w:p w14:paraId="38E5878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Sredstva u proračunu Grada Novske mogu se preraspodijeliti isključivo u planu za tekuću godinu. Gradonačelnik donosi odluku o preraspodjeli sredstava uz pridržavanja odredbi članka 60. Zakona o proračunu („Narodne novine“, broj 144/21) te je dužan izvijestiti predstavničko tijelo o provedenoj preraspodjeli u polugodišnjem i godišnjem izvještaju o izvršenju proračuna.  </w:t>
      </w:r>
    </w:p>
    <w:p w14:paraId="5C3B7225" w14:textId="597078F5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Rashodi i izdaci mogu se preraspodijeliti najviše do pet posto na razini skupine ekonomske klasifikacije koja se umanjuje i to unutar izvora financiranja opći prihodi i primici i unutar izvora financiranja namjenski primici. Iznimno, preraspodjela sredstava unutar izvora financiranja opći prihodi i primici može se izvršiti najviše do 15 posto na razini skupine ekonomske klasifikacije ako se time osigurava povećanje sredstava učešća za financiranje projekata koji se sufinanciraju iz sredstava Europske unije. </w:t>
      </w:r>
    </w:p>
    <w:p w14:paraId="0C2CBA32" w14:textId="4ADD398D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BF5B4C">
        <w:rPr>
          <w:rFonts w:ascii="Calibri" w:hAnsi="Calibri" w:cs="Calibri"/>
        </w:rPr>
        <w:t>Članak 11.</w:t>
      </w:r>
    </w:p>
    <w:p w14:paraId="2AEFCDFB" w14:textId="77777777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Ukoliko tijekom proračunske godine nastupe posebne okolnosti, ovlašćuje se Gradonačelnik na donošenje odluke kojima se osiguravaju sredstva za financiranje mjera i aktivnosti vezanih za posebne okolnosti, uključujući i odluke o preraspodjelama bez ograničenja odnosno u postotku većem od propisanog Zakonom o proračunu.  </w:t>
      </w:r>
    </w:p>
    <w:p w14:paraId="350369C9" w14:textId="76AF38E6" w:rsidR="00BF5B4C" w:rsidRPr="00BF5B4C" w:rsidRDefault="00BF5B4C" w:rsidP="00BF5B4C">
      <w:pPr>
        <w:pStyle w:val="Tijeloteksta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 posebnom odlukom utvrđuje nastup posebnih okolnosti i definira rok trajanja posebnih okolnosti.</w:t>
      </w:r>
    </w:p>
    <w:p w14:paraId="5EFE1C82" w14:textId="77777F2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Proračunu Grada Novske utvrđena su sredstva proračunske zalihe u iznosu od </w:t>
      </w:r>
      <w:r w:rsidR="005A719C">
        <w:rPr>
          <w:rFonts w:ascii="Calibri" w:hAnsi="Calibri" w:cs="Calibri"/>
        </w:rPr>
        <w:t>8.000,00</w:t>
      </w:r>
      <w:r w:rsidRPr="00BF5B4C">
        <w:rPr>
          <w:rFonts w:ascii="Calibri" w:hAnsi="Calibri" w:cs="Calibri"/>
        </w:rPr>
        <w:t xml:space="preserve"> </w:t>
      </w:r>
      <w:r w:rsidR="00F34C81">
        <w:rPr>
          <w:rFonts w:ascii="Calibri" w:hAnsi="Calibri" w:cs="Calibri"/>
        </w:rPr>
        <w:t>eura</w:t>
      </w:r>
      <w:r w:rsidRPr="00BF5B4C">
        <w:rPr>
          <w:rFonts w:ascii="Calibri" w:hAnsi="Calibri" w:cs="Calibri"/>
        </w:rPr>
        <w:t>. O korištenju sredstava proračunske zalihe odlučuje gradonačelnik. U rješenju o odobravanju sredstava na teret proračunske zalihe utvrđuje se namjena, način, dinamika isplate i rokovi utroška sredstava.</w:t>
      </w:r>
    </w:p>
    <w:p w14:paraId="5995F893" w14:textId="0F242F7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je dužan </w:t>
      </w:r>
      <w:r w:rsidR="00C23006">
        <w:rPr>
          <w:rFonts w:ascii="Calibri" w:hAnsi="Calibri" w:cs="Calibri"/>
        </w:rPr>
        <w:t>polugodišnje</w:t>
      </w:r>
      <w:r w:rsidRPr="00BF5B4C">
        <w:rPr>
          <w:rFonts w:ascii="Calibri" w:hAnsi="Calibri" w:cs="Calibri"/>
        </w:rPr>
        <w:t xml:space="preserve"> izvijestiti predstavničko tijelo o korištenju sredstava proračunske zalihe. </w:t>
      </w:r>
    </w:p>
    <w:p w14:paraId="3DFF0EAA" w14:textId="3B26CB1D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III. UPRAVLJANJE IMOVINOM</w:t>
      </w:r>
    </w:p>
    <w:p w14:paraId="16BD2FF4" w14:textId="78A0A28A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12.</w:t>
      </w:r>
    </w:p>
    <w:p w14:paraId="6403E34B" w14:textId="169566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Korisnici su obvezni u svojim financijskim planovima planirati sredstva za obvezno osiguranje službenika i  imovine (vozila, zgrada i sl.).</w:t>
      </w:r>
    </w:p>
    <w:p w14:paraId="498B2BE7" w14:textId="111DF011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Pr="00BF5B4C">
        <w:rPr>
          <w:rFonts w:ascii="Calibri" w:hAnsi="Calibri" w:cs="Calibri"/>
        </w:rPr>
        <w:t>Članak 13.</w:t>
      </w:r>
    </w:p>
    <w:p w14:paraId="7B202B95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Imovinu jedinice lokalne i područne (regionalne) samouprave čini financijska i nefinancijska imovina u vlasništvu jedinice lokalne i područne (regionalne) samouprave.</w:t>
      </w:r>
    </w:p>
    <w:p w14:paraId="1C34FE3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Za izvršavanje javnih službi i djelatnosti u javnom interesu jedinica lokalne i područne (regionalne) samouprave može svojom imovinom osnovati ustanove, trgovačka društva i druge pravne osobe.</w:t>
      </w:r>
    </w:p>
    <w:p w14:paraId="3808A2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Raspoloživim novčanim sredstvima na računu proračuna u skladu sa člankom 50. Zakona o proračunu („Narodne novine“, broj 144/21) upravlja Gradonačelnik poštujući načela sigurnosti, likvidnosti i isplativosti ulaganja.</w:t>
      </w:r>
    </w:p>
    <w:p w14:paraId="3E5A55C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Novčana sredstva iz stavka 3. ovoga članka mogu se polagati u Hrvatsku narodnu banku, poslovnu banku te ulagati u državne vrijednosne papire o čemu odluku donosi Gradonačelnik.  </w:t>
      </w:r>
    </w:p>
    <w:p w14:paraId="43B02699" w14:textId="7C94AB9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Novčana sredstva iz stavka 3. ovoga članka ne smiju se ulagati u dionice i udjele pravnih osoba.</w:t>
      </w:r>
    </w:p>
    <w:p w14:paraId="509DB1F1" w14:textId="18436035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   </w:t>
      </w:r>
      <w:r w:rsidRPr="00BF5B4C">
        <w:rPr>
          <w:rFonts w:ascii="Calibri" w:hAnsi="Calibri" w:cs="Calibri"/>
        </w:rPr>
        <w:t>Članak 14.</w:t>
      </w:r>
    </w:p>
    <w:p w14:paraId="08D2AD92" w14:textId="6C078C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94. Zakona o proračunu („Narodne novine“, broj 144/21) pravne osobe u većinskom vlasništvu Grada Novske dužne su najkasnije u roku od devet mjeseci od isteka poslovne godine dostaviti Ministarstvu financija godišnje financijske izvještaje odnosno konsolidirane godišnje financijske izvještaje. </w:t>
      </w:r>
    </w:p>
    <w:p w14:paraId="22E23198" w14:textId="26F444AE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15.</w:t>
      </w:r>
    </w:p>
    <w:p w14:paraId="5A954CA3" w14:textId="517FB808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U skladu s odredbama članka 48. Zakona o lokalnoj i područnoj (regionalnoj) samoupravi („Narodne novine“, broj 33/01, 60/01, 129/05, 109/07, 125/08, 36/09, 150/11, 144/12, 19/13,137/15, 123/17</w:t>
      </w:r>
      <w:r w:rsidR="00B56725">
        <w:rPr>
          <w:rFonts w:ascii="Calibri" w:hAnsi="Calibri" w:cs="Calibri"/>
        </w:rPr>
        <w:t>,</w:t>
      </w:r>
      <w:r w:rsidRPr="00BF5B4C">
        <w:rPr>
          <w:rFonts w:ascii="Calibri" w:hAnsi="Calibri" w:cs="Calibri"/>
        </w:rPr>
        <w:t xml:space="preserve"> 98/19</w:t>
      </w:r>
      <w:r w:rsidR="00B56725">
        <w:rPr>
          <w:rFonts w:ascii="Calibri" w:hAnsi="Calibri" w:cs="Calibri"/>
        </w:rPr>
        <w:t xml:space="preserve"> i 144720</w:t>
      </w:r>
      <w:r w:rsidRPr="00BF5B4C">
        <w:rPr>
          <w:rFonts w:ascii="Calibri" w:hAnsi="Calibri" w:cs="Calibri"/>
        </w:rPr>
        <w:t>), Gradonačelnik može odlučivati o stjecanju i otuđivanju nekretnina i pokretnina i raspolaganju ostalom imovinom u skladu s ovim Zakonom i Statutom Grada.</w:t>
      </w:r>
    </w:p>
    <w:p w14:paraId="2CAA00C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slučaju iz stavka 1. ovog članka Gradonačelnik može odlučivati o visini pojedinačne vrijednosti, do najviše 0,5 % iznosa prihoda bez primitaka ostvarenih u godini koja prethodi godini u kojoj se odlučuje o stjecanju i otuđivanju pokretnina i nekretnina, odnosno raspolaganju ostalom imovinom. </w:t>
      </w:r>
    </w:p>
    <w:p w14:paraId="10ED8E6B" w14:textId="6171AC4A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Visina pojedinačne vrijednosti pokretnina i nekretnina, odnosno ostale imovine, o čijem stjecanju, odnosno otuđivanju može odlučivati Gradonačelnik za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godinu utvrdit će se ovom Odlukom nakon izrade godišnjih financijskih izvještaja, razine 22, za 202</w:t>
      </w:r>
      <w:r w:rsidR="00F34C81">
        <w:rPr>
          <w:rFonts w:ascii="Calibri" w:hAnsi="Calibri" w:cs="Calibri"/>
        </w:rPr>
        <w:t>5</w:t>
      </w:r>
      <w:r w:rsidRPr="00BF5B4C">
        <w:rPr>
          <w:rFonts w:ascii="Calibri" w:hAnsi="Calibri" w:cs="Calibri"/>
        </w:rPr>
        <w:t xml:space="preserve">. godinu. </w:t>
      </w:r>
    </w:p>
    <w:p w14:paraId="58C3FB5F" w14:textId="37D6D41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Gradonačelnik donosi odluke u postupcima bagatelne i javne nabave (odluku o pokretanju postupaka, odluku o odabiru i dr.) i sklapa ugovore o nabavi za predmete nabave čija procijenjena vrijednost s PDV-om prelazi iznos od 0,5 % iznosa prihoda bez primitaka ostvarenih u godini koja prethodi godini u kojoj se odlučuje ako su za svaku takvu pojedinačnu nabavu u proračunu osigurana sredstva. </w:t>
      </w:r>
    </w:p>
    <w:p w14:paraId="217B32D3" w14:textId="4478C7C0" w:rsidR="00BF5B4C" w:rsidRPr="00BF5B4C" w:rsidRDefault="00BF5B4C" w:rsidP="00BF5B4C">
      <w:pPr>
        <w:pStyle w:val="Tijeloteksta"/>
        <w:jc w:val="center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 xml:space="preserve">   </w:t>
      </w:r>
      <w:r w:rsidRPr="00BF5B4C">
        <w:rPr>
          <w:rFonts w:ascii="Calibri" w:hAnsi="Calibri" w:cs="Calibri"/>
        </w:rPr>
        <w:t>Članak 16.</w:t>
      </w:r>
    </w:p>
    <w:p w14:paraId="0E599203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 Grada Novske može se kratkoročno zadužiti isključivo za premošćivanje jaza nastalog zbog dinamike priljeva sredstava i dospijeća obveza najduže do 12 mjeseci, bez mogućnosti daljnjeg </w:t>
      </w:r>
      <w:proofErr w:type="spellStart"/>
      <w:r w:rsidRPr="00BF5B4C">
        <w:rPr>
          <w:rFonts w:ascii="Calibri" w:hAnsi="Calibri" w:cs="Calibri"/>
        </w:rPr>
        <w:t>reprograma</w:t>
      </w:r>
      <w:proofErr w:type="spellEnd"/>
      <w:r w:rsidRPr="00BF5B4C">
        <w:rPr>
          <w:rFonts w:ascii="Calibri" w:hAnsi="Calibri" w:cs="Calibri"/>
        </w:rPr>
        <w:t xml:space="preserve"> ili zatvaranja postojećih obveza po kratkoročnim kreditima ili zajmovima uzimanjem novih kratkoročnih kredita ili zajmova.</w:t>
      </w:r>
    </w:p>
    <w:p w14:paraId="1D4329E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Dugoročno zaduživanje moguće je za investiciju koja se financira iz proračuna. Pod investicijom smatraju se rashodi za nabavu nefinancijske imovine (osim prijevoznog sredstva u cestovnom prometu-osobnog automobila) i drugi rashodi izravno povezani s takvom investicijom. Gradsko vijeće Grada Novske donosi odluku o dugoročnom zaduživanju. Grad Novska može se dugoročno zadužiti najviše do iznosa ukupno prihvatljivog troška za investiciju ili projekta sufinanciranog iz sredstava Europske unije u skladu s odredbama članka 122. Zakona o proračunu („Narodne novine“, broj 144/21). </w:t>
      </w:r>
    </w:p>
    <w:p w14:paraId="34AB27DC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Proračunski korisnici Grada Novske, ustanova čiji je osnivač Grad Novska, pravne osobe u većinskom vlasništvu ili suvlasništvu Grada Novske mogu se dugoročno zaduživati i refinancirati ili reprogramirati ostatak duga po osnovi kredita ili zajma uz suglasnost predstavničkog tijela Grada Novske. Zaduživati se mogu samo za namjene utvrđene u člansku 120. Zakona o proračunu („Narodne novine“, broj 144/2021). </w:t>
      </w:r>
    </w:p>
    <w:p w14:paraId="316E6C3D" w14:textId="6D31CF6C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Kreditn</w:t>
      </w:r>
      <w:r w:rsidR="002A5C21">
        <w:rPr>
          <w:rFonts w:ascii="Calibri" w:hAnsi="Calibri" w:cs="Calibri"/>
        </w:rPr>
        <w:t>o</w:t>
      </w:r>
      <w:r w:rsidRPr="00BF5B4C">
        <w:rPr>
          <w:rFonts w:ascii="Calibri" w:hAnsi="Calibri" w:cs="Calibri"/>
        </w:rPr>
        <w:t xml:space="preserve"> zaduženj</w:t>
      </w:r>
      <w:r w:rsidR="002A5C21">
        <w:rPr>
          <w:rFonts w:ascii="Calibri" w:hAnsi="Calibri" w:cs="Calibri"/>
        </w:rPr>
        <w:t>e</w:t>
      </w:r>
      <w:r w:rsidRPr="00BF5B4C">
        <w:rPr>
          <w:rFonts w:ascii="Calibri" w:hAnsi="Calibri" w:cs="Calibri"/>
        </w:rPr>
        <w:t xml:space="preserve"> u iznosu od</w:t>
      </w:r>
      <w:r w:rsidR="005A719C">
        <w:rPr>
          <w:rFonts w:ascii="Calibri" w:hAnsi="Calibri" w:cs="Calibri"/>
        </w:rPr>
        <w:t xml:space="preserve"> 4.684.000,00 € koje je odobreno za kapitalni projekt Centra cjeloživotnog obrazovanja</w:t>
      </w:r>
      <w:r w:rsidR="002A5C21">
        <w:rPr>
          <w:rFonts w:ascii="Calibri" w:hAnsi="Calibri" w:cs="Calibri"/>
        </w:rPr>
        <w:t xml:space="preserve"> i 1.</w:t>
      </w:r>
      <w:r w:rsidR="000B14A6">
        <w:rPr>
          <w:rFonts w:ascii="Calibri" w:hAnsi="Calibri" w:cs="Calibri"/>
        </w:rPr>
        <w:t>774</w:t>
      </w:r>
      <w:r w:rsidR="002A5C21">
        <w:rPr>
          <w:rFonts w:ascii="Calibri" w:hAnsi="Calibri" w:cs="Calibri"/>
        </w:rPr>
        <w:t>.000,00 €  zaduženja za kapitalni projekt Izgradnja novog dječjeg vrtića</w:t>
      </w:r>
      <w:r w:rsidR="000B14A6">
        <w:rPr>
          <w:rFonts w:ascii="Calibri" w:hAnsi="Calibri" w:cs="Calibri"/>
        </w:rPr>
        <w:t xml:space="preserve"> i pristupne prometnice do vrtića</w:t>
      </w:r>
      <w:r w:rsidR="002A5C21">
        <w:rPr>
          <w:rFonts w:ascii="Calibri" w:hAnsi="Calibri" w:cs="Calibri"/>
        </w:rPr>
        <w:t>,</w:t>
      </w:r>
      <w:r w:rsidR="005A719C"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planira</w:t>
      </w:r>
      <w:r w:rsidR="005A719C">
        <w:rPr>
          <w:rFonts w:ascii="Calibri" w:hAnsi="Calibri" w:cs="Calibri"/>
        </w:rPr>
        <w:t>ju</w:t>
      </w:r>
      <w:r w:rsidRPr="00BF5B4C">
        <w:rPr>
          <w:rFonts w:ascii="Calibri" w:hAnsi="Calibri" w:cs="Calibri"/>
        </w:rPr>
        <w:t xml:space="preserve"> se u proračunu  i projekcijama prema planu korištenja.</w:t>
      </w:r>
      <w:r w:rsidR="00CB479D">
        <w:rPr>
          <w:rFonts w:ascii="Calibri" w:hAnsi="Calibri" w:cs="Calibri"/>
        </w:rPr>
        <w:t xml:space="preserve"> </w:t>
      </w:r>
    </w:p>
    <w:p w14:paraId="1BF6C8A9" w14:textId="57567B84" w:rsidR="00BF5B4C" w:rsidRPr="00BF5B4C" w:rsidRDefault="00BF5B4C" w:rsidP="00BF5B4C">
      <w:pPr>
        <w:pStyle w:val="Tijeloteksta"/>
        <w:ind w:left="2832"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lastRenderedPageBreak/>
        <w:t xml:space="preserve">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17.</w:t>
      </w:r>
    </w:p>
    <w:p w14:paraId="7F63C39B" w14:textId="106618EC" w:rsid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U skladu s odredbama članka 61. Zakona o proračunu („Narodne novine“, broj 144/21) nastale obveze za kapitalne projekte za koje su započeti postupci u  prethodnoj godini i/ili sredstva osigurana u proračunu tekuće godine nisu izvršena do visine utvrđene proračunom i financijskim planom, mogu se u toj visini izvršavati u sljedećoj godini, obveze se  podmiruju  po datumu dospijeća, a korisnik ili nositelj projekta, dužan je takve rashode prvim izmjenama i dopunama proračuna uvrstiti u svoj financijski plan.  </w:t>
      </w:r>
    </w:p>
    <w:p w14:paraId="519A1D7E" w14:textId="77777777" w:rsidR="00CC03BF" w:rsidRPr="00BF5B4C" w:rsidRDefault="00CC03BF" w:rsidP="00BF5B4C">
      <w:pPr>
        <w:pStyle w:val="Tijeloteksta"/>
        <w:jc w:val="both"/>
        <w:rPr>
          <w:rFonts w:ascii="Calibri" w:hAnsi="Calibri" w:cs="Calibri"/>
        </w:rPr>
      </w:pPr>
    </w:p>
    <w:p w14:paraId="0089E7D7" w14:textId="15C262DF" w:rsidR="00BF5B4C" w:rsidRPr="00BF5B4C" w:rsidRDefault="00BF5B4C" w:rsidP="00BF5B4C">
      <w:pPr>
        <w:pStyle w:val="Tijeloteksta"/>
        <w:rPr>
          <w:rFonts w:ascii="Calibri" w:hAnsi="Calibri" w:cs="Calibri"/>
          <w:b/>
          <w:bCs/>
        </w:rPr>
      </w:pPr>
      <w:r w:rsidRPr="00BF5B4C">
        <w:rPr>
          <w:rFonts w:ascii="Calibri" w:hAnsi="Calibri" w:cs="Calibri"/>
          <w:b/>
          <w:bCs/>
        </w:rPr>
        <w:t>IV. ODGODA NAPLATE, OTPIS DUGOVANJA I PRODAJA POTRAŽIVANJA</w:t>
      </w:r>
    </w:p>
    <w:p w14:paraId="3C75294A" w14:textId="32237814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  Članak 18.</w:t>
      </w:r>
    </w:p>
    <w:p w14:paraId="75BDDFE9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uz primjereno osiguranje i kamate, odgoditi plaćanje ili odobriti obročnu otplatu duga, koji se ne smatraju javnim davanjima, pod uvjetima propisanim Zakonom o proračunu („Narodne novine, broj 144/21) i Uredbe o kriterijima, mjerilima i postupku za odgodu plaćanja, obročnu otplatu duga te prodaju, otpis ili djelomičan otpis potraživanja („Narodne novine“,  broj 52/13, 94/14 i 144/21), u daljnjem tekstu: Uredba.</w:t>
      </w:r>
    </w:p>
    <w:p w14:paraId="161A3169" w14:textId="2A0EAF41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Naplata duga iz stavka 1. ovog članka može se odgoditi jednokratno do 12 mjeseci ili se može odobriti plaćanje duga u obrocima, i to maksimalno do 60 mjesečna obroka.</w:t>
      </w:r>
    </w:p>
    <w:p w14:paraId="6EEC77B2" w14:textId="6893E378" w:rsidR="00BF5B4C" w:rsidRPr="00BF5B4C" w:rsidRDefault="00BF5B4C" w:rsidP="00BF5B4C">
      <w:pPr>
        <w:pStyle w:val="Tijeloteksta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>Članak 19.</w:t>
      </w:r>
    </w:p>
    <w:p w14:paraId="00B8D8F6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može, na zahtjev dužnika, otpisati, odnosno uz suglasnost dužnika, prodati potraživanja koja se ne smatraju javnim davanjima pod uvjetima propisanim Zakonom o proračunu i podzakonskim propisima, tj. Uredbom.</w:t>
      </w:r>
    </w:p>
    <w:p w14:paraId="06172FF1" w14:textId="54D6F3E3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Gradonačelnik može donijeti odluku o otpisu potraživanja u slučajevima kada je dužnik umro, a nije ostavio pokretnina i nekretnina iz kojih se može naplatiti dug.</w:t>
      </w:r>
    </w:p>
    <w:p w14:paraId="32044EB9" w14:textId="0C8A60D1" w:rsidR="00BF5B4C" w:rsidRPr="00BF5B4C" w:rsidRDefault="00BF5B4C" w:rsidP="00BF5B4C">
      <w:pPr>
        <w:pStyle w:val="Tijeloteksta"/>
        <w:ind w:firstLine="708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</w:t>
      </w:r>
      <w:r>
        <w:rPr>
          <w:rFonts w:ascii="Calibri" w:hAnsi="Calibri" w:cs="Calibri"/>
        </w:rPr>
        <w:t xml:space="preserve">         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</w:t>
      </w:r>
      <w:r w:rsidRPr="00BF5B4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Pr="00BF5B4C">
        <w:rPr>
          <w:rFonts w:ascii="Calibri" w:hAnsi="Calibri" w:cs="Calibri"/>
        </w:rPr>
        <w:t xml:space="preserve"> Članak 20.</w:t>
      </w:r>
    </w:p>
    <w:p w14:paraId="24169D37" w14:textId="01065DC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Nadležno tijelo može otpisati potraživanje prema dužniku fizičkoj i pravnoj osobi u iznosu do </w:t>
      </w:r>
      <w:r w:rsidRPr="00330D0E">
        <w:rPr>
          <w:rFonts w:ascii="Calibri" w:hAnsi="Calibri" w:cs="Calibri"/>
        </w:rPr>
        <w:t>6,64 EUR</w:t>
      </w:r>
      <w:r w:rsidRPr="00BF5B4C">
        <w:rPr>
          <w:rFonts w:ascii="Calibri" w:hAnsi="Calibri" w:cs="Calibri"/>
        </w:rPr>
        <w:t xml:space="preserve"> bez podnošenja zahtjeva za otpis u skladu s Uredbom.</w:t>
      </w:r>
    </w:p>
    <w:p w14:paraId="390D41F6" w14:textId="6C483B0F" w:rsidR="00BF5B4C" w:rsidRPr="00BF5B4C" w:rsidRDefault="00BF5B4C" w:rsidP="00BF5B4C">
      <w:pPr>
        <w:pStyle w:val="Tijeloteksta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</w:t>
      </w:r>
      <w:r w:rsidRPr="00BF5B4C">
        <w:rPr>
          <w:rFonts w:ascii="Calibri" w:hAnsi="Calibri" w:cs="Calibri"/>
        </w:rPr>
        <w:t>Članak 21.</w:t>
      </w:r>
    </w:p>
    <w:p w14:paraId="6DD647E7" w14:textId="39B4D60F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>Ova Odluka stupa na snagu 1. siječnja 202</w:t>
      </w:r>
      <w:r w:rsidR="00F34C81">
        <w:rPr>
          <w:rFonts w:ascii="Calibri" w:hAnsi="Calibri" w:cs="Calibri"/>
        </w:rPr>
        <w:t>6</w:t>
      </w:r>
      <w:r w:rsidRPr="00BF5B4C">
        <w:rPr>
          <w:rFonts w:ascii="Calibri" w:hAnsi="Calibri" w:cs="Calibri"/>
        </w:rPr>
        <w:t>. godine, a objavit će se u „Službenom vjesniku“ Grada Novske.</w:t>
      </w:r>
    </w:p>
    <w:p w14:paraId="5091515E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SISAČKO-MOSLAVAČKA ŽUPANIJA</w:t>
      </w:r>
    </w:p>
    <w:p w14:paraId="71EB6514" w14:textId="77777777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 NOVSKA</w:t>
      </w:r>
    </w:p>
    <w:p w14:paraId="62BF04DC" w14:textId="257A054A" w:rsidR="00BF5B4C" w:rsidRPr="00BF5B4C" w:rsidRDefault="00BF5B4C" w:rsidP="00BF5B4C">
      <w:pPr>
        <w:pStyle w:val="Tijeloteksta"/>
        <w:spacing w:after="0"/>
        <w:ind w:firstLine="708"/>
        <w:jc w:val="center"/>
        <w:rPr>
          <w:rFonts w:ascii="Calibri" w:hAnsi="Calibri" w:cs="Calibri"/>
        </w:rPr>
      </w:pPr>
      <w:r w:rsidRPr="00BF5B4C">
        <w:rPr>
          <w:rFonts w:ascii="Calibri" w:hAnsi="Calibri" w:cs="Calibri"/>
        </w:rPr>
        <w:t>GRADSKO VIJEĆE</w:t>
      </w:r>
    </w:p>
    <w:p w14:paraId="1D841B6C" w14:textId="5B566A99" w:rsidR="00BF5B4C" w:rsidRPr="00BF5B4C" w:rsidRDefault="00BF5B4C" w:rsidP="00BF5B4C">
      <w:pPr>
        <w:pStyle w:val="Tijeloteksta"/>
        <w:spacing w:after="0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</w:t>
      </w:r>
    </w:p>
    <w:p w14:paraId="701CBC92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 xml:space="preserve">                                                                                                                                       Predsjednik</w:t>
      </w:r>
    </w:p>
    <w:p w14:paraId="197B320A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</w:r>
      <w:r w:rsidRPr="00BF5B4C">
        <w:rPr>
          <w:rFonts w:ascii="Calibri" w:hAnsi="Calibri" w:cs="Calibri"/>
        </w:rPr>
        <w:tab/>
        <w:t xml:space="preserve">                                                     Gradskog vijeća </w:t>
      </w:r>
    </w:p>
    <w:p w14:paraId="263B6CFF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</w:p>
    <w:p w14:paraId="50D1316D" w14:textId="77777777" w:rsidR="00BF5B4C" w:rsidRPr="00BF5B4C" w:rsidRDefault="00BF5B4C" w:rsidP="00BF5B4C">
      <w:pPr>
        <w:pStyle w:val="Tijeloteksta"/>
        <w:jc w:val="both"/>
        <w:rPr>
          <w:rFonts w:ascii="Calibri" w:hAnsi="Calibri" w:cs="Calibri"/>
        </w:rPr>
      </w:pP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775AD5">
        <w:rPr>
          <w:rFonts w:ascii="Calibri" w:hAnsi="Calibri" w:cs="Calibri"/>
          <w:b/>
          <w:bCs/>
        </w:rPr>
        <w:tab/>
      </w:r>
      <w:r w:rsidRPr="00BF5B4C">
        <w:rPr>
          <w:rFonts w:ascii="Calibri" w:hAnsi="Calibri" w:cs="Calibri"/>
        </w:rPr>
        <w:t xml:space="preserve">                                 Ivica Vulić </w:t>
      </w:r>
    </w:p>
    <w:p w14:paraId="61DB0DB8" w14:textId="77777777" w:rsidR="00CC03BF" w:rsidRDefault="00CC03BF" w:rsidP="00B061CC">
      <w:pPr>
        <w:jc w:val="center"/>
        <w:rPr>
          <w:rFonts w:asciiTheme="minorHAnsi" w:hAnsiTheme="minorHAnsi" w:cstheme="majorHAnsi"/>
          <w:lang w:val="hr-HR"/>
        </w:rPr>
      </w:pPr>
    </w:p>
    <w:p w14:paraId="3EA1A0A1" w14:textId="77777777" w:rsidR="00CC03BF" w:rsidRDefault="00CC03BF" w:rsidP="00B061CC">
      <w:pPr>
        <w:jc w:val="center"/>
        <w:rPr>
          <w:rFonts w:asciiTheme="minorHAnsi" w:hAnsiTheme="minorHAnsi" w:cstheme="majorHAnsi"/>
          <w:lang w:val="hr-HR"/>
        </w:rPr>
      </w:pPr>
    </w:p>
    <w:sectPr w:rsidR="00CC03BF" w:rsidSect="00BF5B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613E" w14:textId="77777777" w:rsidR="00AF17F9" w:rsidRDefault="00AF17F9" w:rsidP="00C279ED">
      <w:r>
        <w:separator/>
      </w:r>
    </w:p>
  </w:endnote>
  <w:endnote w:type="continuationSeparator" w:id="0">
    <w:p w14:paraId="16FFAD97" w14:textId="77777777" w:rsidR="00AF17F9" w:rsidRDefault="00AF17F9" w:rsidP="00C2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BE70" w14:textId="77777777" w:rsidR="00C279E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471CF54B" wp14:editId="3CFB0701">
          <wp:extent cx="5753100" cy="1190625"/>
          <wp:effectExtent l="0" t="0" r="0" b="9525"/>
          <wp:docPr id="7" name="Slika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F135E" w14:textId="77777777" w:rsidR="006E430D" w:rsidRDefault="00D448C6">
    <w:pPr>
      <w:pStyle w:val="Podnoje"/>
    </w:pPr>
    <w:r>
      <w:rPr>
        <w:noProof/>
        <w:lang w:val="en-GB" w:eastAsia="en-GB"/>
      </w:rPr>
      <w:drawing>
        <wp:inline distT="0" distB="0" distL="0" distR="0" wp14:anchorId="241075CD" wp14:editId="26840288">
          <wp:extent cx="5753100" cy="1190625"/>
          <wp:effectExtent l="0" t="0" r="0" b="9525"/>
          <wp:docPr id="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1F863" w14:textId="77777777" w:rsidR="00AF17F9" w:rsidRDefault="00AF17F9" w:rsidP="00C279ED">
      <w:r>
        <w:separator/>
      </w:r>
    </w:p>
  </w:footnote>
  <w:footnote w:type="continuationSeparator" w:id="0">
    <w:p w14:paraId="236A07FB" w14:textId="77777777" w:rsidR="00AF17F9" w:rsidRDefault="00AF17F9" w:rsidP="00C27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FCB6" w14:textId="77777777" w:rsidR="00C279ED" w:rsidRDefault="00C279ED" w:rsidP="00C279ED">
    <w:pPr>
      <w:pStyle w:val="Zaglavlje"/>
      <w:ind w:left="-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DBB2" w14:textId="77777777" w:rsidR="00C279ED" w:rsidRDefault="00D448C6" w:rsidP="00C279ED">
    <w:pPr>
      <w:pStyle w:val="Zaglavlje"/>
      <w:ind w:left="-284"/>
    </w:pPr>
    <w:r>
      <w:rPr>
        <w:noProof/>
        <w:lang w:val="en-GB" w:eastAsia="en-GB"/>
      </w:rPr>
      <w:drawing>
        <wp:inline distT="0" distB="0" distL="0" distR="0" wp14:anchorId="05487327" wp14:editId="47766513">
          <wp:extent cx="1962150" cy="1495425"/>
          <wp:effectExtent l="0" t="0" r="0" b="9525"/>
          <wp:docPr id="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6A5F"/>
    <w:multiLevelType w:val="multilevel"/>
    <w:tmpl w:val="210C56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" w15:restartNumberingAfterBreak="0">
    <w:nsid w:val="2DF43720"/>
    <w:multiLevelType w:val="hybridMultilevel"/>
    <w:tmpl w:val="AD9E0A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613793"/>
    <w:multiLevelType w:val="hybridMultilevel"/>
    <w:tmpl w:val="8F7AD7D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D04CFD"/>
    <w:multiLevelType w:val="singleLevel"/>
    <w:tmpl w:val="88F0EE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AE17CBE"/>
    <w:multiLevelType w:val="hybridMultilevel"/>
    <w:tmpl w:val="49C4496A"/>
    <w:lvl w:ilvl="0" w:tplc="62E6875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608BE"/>
    <w:multiLevelType w:val="hybridMultilevel"/>
    <w:tmpl w:val="3B66234E"/>
    <w:lvl w:ilvl="0" w:tplc="93F46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A57CB2"/>
    <w:multiLevelType w:val="hybridMultilevel"/>
    <w:tmpl w:val="FDDEF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746F9"/>
    <w:multiLevelType w:val="hybridMultilevel"/>
    <w:tmpl w:val="EF46F14A"/>
    <w:lvl w:ilvl="0" w:tplc="58948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031709">
    <w:abstractNumId w:val="4"/>
  </w:num>
  <w:num w:numId="2" w16cid:durableId="1986625266">
    <w:abstractNumId w:val="3"/>
  </w:num>
  <w:num w:numId="3" w16cid:durableId="537427247">
    <w:abstractNumId w:val="0"/>
  </w:num>
  <w:num w:numId="4" w16cid:durableId="2042583910">
    <w:abstractNumId w:val="1"/>
  </w:num>
  <w:num w:numId="5" w16cid:durableId="1509632265">
    <w:abstractNumId w:val="5"/>
  </w:num>
  <w:num w:numId="6" w16cid:durableId="1615207319">
    <w:abstractNumId w:val="6"/>
  </w:num>
  <w:num w:numId="7" w16cid:durableId="1733578423">
    <w:abstractNumId w:val="2"/>
  </w:num>
  <w:num w:numId="8" w16cid:durableId="3277583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ED"/>
    <w:rsid w:val="000B14A6"/>
    <w:rsid w:val="000B7451"/>
    <w:rsid w:val="00101C42"/>
    <w:rsid w:val="00142604"/>
    <w:rsid w:val="00197D96"/>
    <w:rsid w:val="001C6E3C"/>
    <w:rsid w:val="001D6A37"/>
    <w:rsid w:val="001E5B45"/>
    <w:rsid w:val="001F53C1"/>
    <w:rsid w:val="00240221"/>
    <w:rsid w:val="002439AD"/>
    <w:rsid w:val="00287197"/>
    <w:rsid w:val="002A5C21"/>
    <w:rsid w:val="002F2F78"/>
    <w:rsid w:val="0032206B"/>
    <w:rsid w:val="00330D0E"/>
    <w:rsid w:val="003F0201"/>
    <w:rsid w:val="003F3A05"/>
    <w:rsid w:val="00477888"/>
    <w:rsid w:val="004B5DD1"/>
    <w:rsid w:val="0050446F"/>
    <w:rsid w:val="005A0F9F"/>
    <w:rsid w:val="005A719C"/>
    <w:rsid w:val="0060092D"/>
    <w:rsid w:val="00652F52"/>
    <w:rsid w:val="006710C5"/>
    <w:rsid w:val="00672DA8"/>
    <w:rsid w:val="00683AEB"/>
    <w:rsid w:val="00684286"/>
    <w:rsid w:val="0068679B"/>
    <w:rsid w:val="006A09BD"/>
    <w:rsid w:val="006C7D52"/>
    <w:rsid w:val="006E430D"/>
    <w:rsid w:val="00714FBF"/>
    <w:rsid w:val="00723E13"/>
    <w:rsid w:val="00743D7F"/>
    <w:rsid w:val="00751748"/>
    <w:rsid w:val="007A2BD7"/>
    <w:rsid w:val="007A6F45"/>
    <w:rsid w:val="008027EB"/>
    <w:rsid w:val="00836AC8"/>
    <w:rsid w:val="00860B5B"/>
    <w:rsid w:val="008851CB"/>
    <w:rsid w:val="00892D26"/>
    <w:rsid w:val="008A3422"/>
    <w:rsid w:val="0094008B"/>
    <w:rsid w:val="009771F1"/>
    <w:rsid w:val="00981E81"/>
    <w:rsid w:val="00990E7F"/>
    <w:rsid w:val="009E07A4"/>
    <w:rsid w:val="009F3325"/>
    <w:rsid w:val="00A10C07"/>
    <w:rsid w:val="00A417CD"/>
    <w:rsid w:val="00A63279"/>
    <w:rsid w:val="00A67398"/>
    <w:rsid w:val="00AA36D1"/>
    <w:rsid w:val="00AF17F9"/>
    <w:rsid w:val="00B061CC"/>
    <w:rsid w:val="00B56725"/>
    <w:rsid w:val="00B93DAB"/>
    <w:rsid w:val="00BC3400"/>
    <w:rsid w:val="00BF5B4C"/>
    <w:rsid w:val="00C23006"/>
    <w:rsid w:val="00C279ED"/>
    <w:rsid w:val="00C43FA3"/>
    <w:rsid w:val="00C76FC7"/>
    <w:rsid w:val="00CB479D"/>
    <w:rsid w:val="00CC03BF"/>
    <w:rsid w:val="00CD498C"/>
    <w:rsid w:val="00D448C6"/>
    <w:rsid w:val="00D4552D"/>
    <w:rsid w:val="00DB2241"/>
    <w:rsid w:val="00DB2364"/>
    <w:rsid w:val="00DD5A93"/>
    <w:rsid w:val="00DD7DD3"/>
    <w:rsid w:val="00E27C2E"/>
    <w:rsid w:val="00E44959"/>
    <w:rsid w:val="00EF371D"/>
    <w:rsid w:val="00EF5B89"/>
    <w:rsid w:val="00F201C1"/>
    <w:rsid w:val="00F34C81"/>
    <w:rsid w:val="00F7618D"/>
    <w:rsid w:val="00F80828"/>
    <w:rsid w:val="00F83CFB"/>
    <w:rsid w:val="00F871F2"/>
    <w:rsid w:val="00FA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D1F2E"/>
  <w15:docId w15:val="{024B6876-9F87-48F5-BC3D-D3CC1C64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9ED"/>
    <w:rPr>
      <w:rFonts w:eastAsia="Times New Roman"/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448C6"/>
    <w:pPr>
      <w:keepNext/>
      <w:jc w:val="center"/>
      <w:outlineLvl w:val="0"/>
    </w:pPr>
    <w:rPr>
      <w:rFonts w:ascii="Times New Roman" w:hAnsi="Times New Roman"/>
      <w:b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279ED"/>
    <w:rPr>
      <w:rFonts w:eastAsia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C279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279ED"/>
    <w:rPr>
      <w:rFonts w:eastAsia="Times New Roman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79E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279ED"/>
    <w:rPr>
      <w:rFonts w:ascii="Tahoma" w:eastAsia="Times New Roman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6E430D"/>
    <w:rPr>
      <w:sz w:val="22"/>
      <w:szCs w:val="22"/>
      <w:lang w:eastAsia="en-US"/>
    </w:rPr>
  </w:style>
  <w:style w:type="character" w:styleId="Hiperveza">
    <w:name w:val="Hyperlink"/>
    <w:uiPriority w:val="99"/>
    <w:unhideWhenUsed/>
    <w:rsid w:val="006E430D"/>
    <w:rPr>
      <w:color w:val="0000FF"/>
      <w:u w:val="single"/>
    </w:rPr>
  </w:style>
  <w:style w:type="character" w:customStyle="1" w:styleId="Naslov1Char">
    <w:name w:val="Naslov 1 Char"/>
    <w:basedOn w:val="Zadanifontodlomka"/>
    <w:link w:val="Naslov1"/>
    <w:rsid w:val="00D448C6"/>
    <w:rPr>
      <w:rFonts w:ascii="Times New Roman" w:eastAsia="Times New Roman" w:hAnsi="Times New Roman"/>
      <w:b/>
    </w:rPr>
  </w:style>
  <w:style w:type="paragraph" w:styleId="Tijeloteksta">
    <w:name w:val="Body Text"/>
    <w:basedOn w:val="Normal"/>
    <w:link w:val="TijelotekstaChar"/>
    <w:rsid w:val="00D448C6"/>
    <w:pPr>
      <w:spacing w:after="120"/>
    </w:pPr>
    <w:rPr>
      <w:rFonts w:ascii="Times New Roman" w:hAnsi="Times New Roman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448C6"/>
    <w:rPr>
      <w:rFonts w:ascii="Times New Roman" w:eastAsia="Times New Roman" w:hAnsi="Times New Roman"/>
      <w:sz w:val="24"/>
      <w:szCs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D448C6"/>
    <w:pPr>
      <w:spacing w:after="120" w:line="480" w:lineRule="auto"/>
      <w:ind w:left="283"/>
    </w:pPr>
    <w:rPr>
      <w:rFonts w:ascii="Cambria" w:eastAsia="MS Mincho" w:hAnsi="Cambria"/>
    </w:r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D448C6"/>
    <w:rPr>
      <w:rFonts w:ascii="Cambria" w:eastAsia="MS Mincho" w:hAnsi="Cambria"/>
      <w:sz w:val="24"/>
      <w:szCs w:val="24"/>
      <w:lang w:val="en-US" w:eastAsia="en-US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D448C6"/>
    <w:pPr>
      <w:spacing w:after="120"/>
      <w:ind w:left="283"/>
    </w:pPr>
    <w:rPr>
      <w:rFonts w:ascii="Cambria" w:eastAsia="MS Mincho" w:hAnsi="Cambria"/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D448C6"/>
    <w:rPr>
      <w:rFonts w:ascii="Cambria" w:eastAsia="MS Mincho" w:hAnsi="Cambria"/>
      <w:sz w:val="16"/>
      <w:szCs w:val="16"/>
      <w:lang w:val="en-US" w:eastAsia="en-US"/>
    </w:rPr>
  </w:style>
  <w:style w:type="paragraph" w:customStyle="1" w:styleId="tb-na16">
    <w:name w:val="tb-na16"/>
    <w:basedOn w:val="Normal"/>
    <w:rsid w:val="00D448C6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  <w:style w:type="paragraph" w:styleId="StandardWeb">
    <w:name w:val="Normal (Web)"/>
    <w:basedOn w:val="Normal"/>
    <w:uiPriority w:val="99"/>
    <w:unhideWhenUsed/>
    <w:rsid w:val="00BF5B4C"/>
    <w:pPr>
      <w:spacing w:before="100" w:beforeAutospacing="1" w:after="100" w:afterAutospacing="1"/>
    </w:pPr>
    <w:rPr>
      <w:rFonts w:ascii="Times New Roman" w:hAnsi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C4B-BAB7-4E42-89AF-BBD2C95E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2347</Words>
  <Characters>13381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15697</CharactersWithSpaces>
  <SharedDoc>false</SharedDoc>
  <HLinks>
    <vt:vector size="6" baseType="variant"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mailto:sonja.marohnichorvat@novska.hr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Pipić-Skoko</dc:creator>
  <cp:lastModifiedBy>Sonja Marohnić-Horvat</cp:lastModifiedBy>
  <cp:revision>2</cp:revision>
  <cp:lastPrinted>2024-11-14T08:22:00Z</cp:lastPrinted>
  <dcterms:created xsi:type="dcterms:W3CDTF">2025-12-18T10:09:00Z</dcterms:created>
  <dcterms:modified xsi:type="dcterms:W3CDTF">2025-12-18T10:09:00Z</dcterms:modified>
</cp:coreProperties>
</file>