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A7" w:rsidRDefault="00D02EA7" w:rsidP="00E640FE">
      <w:pPr>
        <w:jc w:val="center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OBRAZLOŽENJE POSEBNOG DIJELA TREĆIH IZMJENA I DOPUNA PRORAČUNA GRADA NOVSKE ZA 2019. GODINU</w:t>
      </w:r>
    </w:p>
    <w:p w:rsidR="00E640FE" w:rsidRDefault="00E640FE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1. Razdjel 002 UPRAVNI ODJEL ZA DRUŠTVENE DJELATNOSTI, PRAVNE POSLOVE I JAVNU NABAVU</w:t>
      </w:r>
    </w:p>
    <w:p w:rsidR="00E640FE" w:rsidRPr="00E640FE" w:rsidRDefault="00E640FE" w:rsidP="00E640FE">
      <w:pPr>
        <w:ind w:left="720"/>
        <w:contextualSpacing/>
        <w:rPr>
          <w:rFonts w:ascii="Calibri" w:eastAsia="Calibri" w:hAnsi="Calibri" w:cs="Calibri"/>
          <w:b/>
          <w:sz w:val="24"/>
          <w:szCs w:val="24"/>
          <w:lang w:val="hr-HR" w:eastAsia="en-US"/>
        </w:rPr>
      </w:pPr>
    </w:p>
    <w:p w:rsidR="00E640FE" w:rsidRPr="00E640FE" w:rsidRDefault="00E640FE" w:rsidP="00E640FE">
      <w:pPr>
        <w:contextualSpacing/>
        <w:jc w:val="both"/>
        <w:rPr>
          <w:rFonts w:ascii="Calibri" w:eastAsia="Calibri" w:hAnsi="Calibri" w:cs="Calibri"/>
          <w:color w:val="FF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sz w:val="24"/>
          <w:szCs w:val="24"/>
          <w:lang w:val="hr-HR" w:eastAsia="en-US"/>
        </w:rPr>
        <w:t xml:space="preserve">Ovim izmjenama i dopunama Proračuna umanjuju se ukupna sredstva za ostvarenje programa Upravnog odjela za društvene djelatnosti, pravne poslove i javnu nabavu i sada iznose </w:t>
      </w:r>
      <w:r w:rsidRPr="00E640FE">
        <w:rPr>
          <w:rFonts w:ascii="Calibri" w:eastAsia="Calibri" w:hAnsi="Calibri" w:cs="Calibri"/>
          <w:b/>
          <w:sz w:val="24"/>
          <w:szCs w:val="24"/>
          <w:lang w:val="hr-HR" w:eastAsia="en-US"/>
        </w:rPr>
        <w:t>30.787.255,00 kn</w:t>
      </w:r>
      <w:r w:rsidRPr="00E640FE">
        <w:rPr>
          <w:rFonts w:ascii="Calibri" w:eastAsia="Calibri" w:hAnsi="Calibri" w:cs="Calibri"/>
          <w:sz w:val="24"/>
          <w:szCs w:val="24"/>
          <w:lang w:val="hr-HR" w:eastAsia="en-US"/>
        </w:rPr>
        <w:t xml:space="preserve">,  a istima će se financirati  ukupno  13 (trinaest) različitih programa koji su obuhvaćeni financijskim planom rashoda upravnog odjela. Sredstva kojima se planiraju financirati programi Upravnog odjela za društvene djelatnosti, pravne poslove i javnu nabavu umanjuju se za iznos od </w:t>
      </w:r>
      <w:r w:rsidRPr="00E640FE">
        <w:rPr>
          <w:rFonts w:ascii="Calibri" w:eastAsia="Calibri" w:hAnsi="Calibri" w:cs="Calibri"/>
          <w:b/>
          <w:sz w:val="24"/>
          <w:szCs w:val="24"/>
          <w:lang w:val="hr-HR" w:eastAsia="en-US"/>
        </w:rPr>
        <w:t>297.240,00 kn.</w:t>
      </w:r>
    </w:p>
    <w:p w:rsidR="00E640FE" w:rsidRPr="00E640FE" w:rsidRDefault="00E640FE" w:rsidP="00E640FE">
      <w:pPr>
        <w:jc w:val="both"/>
        <w:rPr>
          <w:rFonts w:ascii="Calibri" w:eastAsia="Calibri" w:hAnsi="Calibri" w:cs="Calibri"/>
          <w:i/>
          <w:sz w:val="24"/>
          <w:szCs w:val="24"/>
          <w:lang w:val="hr-HR" w:eastAsia="en-US"/>
        </w:rPr>
      </w:pPr>
    </w:p>
    <w:p w:rsidR="00E640FE" w:rsidRPr="00E640FE" w:rsidRDefault="00E640FE" w:rsidP="00E640FE">
      <w:p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sz w:val="24"/>
          <w:szCs w:val="24"/>
          <w:lang w:val="hr-HR" w:eastAsia="en-US"/>
        </w:rPr>
        <w:t>Tablica broj 1: Prikaz</w:t>
      </w:r>
      <w:r w:rsidR="00C40692">
        <w:rPr>
          <w:rFonts w:ascii="Calibri" w:eastAsia="Calibri" w:hAnsi="Calibri" w:cs="Calibri"/>
          <w:b/>
          <w:sz w:val="24"/>
          <w:szCs w:val="24"/>
          <w:lang w:val="hr-HR" w:eastAsia="en-US"/>
        </w:rPr>
        <w:t xml:space="preserve"> </w:t>
      </w:r>
      <w:r w:rsidRPr="00E640FE">
        <w:rPr>
          <w:rFonts w:ascii="Calibri" w:eastAsia="Calibri" w:hAnsi="Calibri" w:cs="Calibri"/>
          <w:b/>
          <w:sz w:val="24"/>
          <w:szCs w:val="24"/>
          <w:lang w:val="hr-HR" w:eastAsia="en-US"/>
        </w:rPr>
        <w:t>izmjena programa Upravnog odjela za društvene djelatnosti, pravne poslove i javnu nabavu za 2019. godinu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19"/>
        <w:gridCol w:w="2410"/>
        <w:gridCol w:w="1701"/>
        <w:gridCol w:w="1743"/>
        <w:gridCol w:w="1417"/>
      </w:tblGrid>
      <w:tr w:rsidR="00E640FE" w:rsidRPr="00E640FE" w:rsidTr="00BF6F7E">
        <w:tc>
          <w:tcPr>
            <w:tcW w:w="828" w:type="dxa"/>
            <w:shd w:val="clear" w:color="auto" w:fill="DDD9C3" w:themeFill="background2" w:themeFillShade="E6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Redni broj</w:t>
            </w:r>
          </w:p>
        </w:tc>
        <w:tc>
          <w:tcPr>
            <w:tcW w:w="1719" w:type="dxa"/>
            <w:shd w:val="clear" w:color="auto" w:fill="DDD9C3" w:themeFill="background2" w:themeFillShade="E6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Brojčana oznaka programa u proračunu za 2019.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C40692" w:rsidRDefault="00C40692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Plan</w:t>
            </w: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2019.</w:t>
            </w:r>
          </w:p>
        </w:tc>
        <w:tc>
          <w:tcPr>
            <w:tcW w:w="1743" w:type="dxa"/>
            <w:shd w:val="clear" w:color="auto" w:fill="DDD9C3" w:themeFill="background2" w:themeFillShade="E6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Izmjene</w:t>
            </w: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2019.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C40692" w:rsidRDefault="00C40692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Promjene</w:t>
            </w:r>
          </w:p>
        </w:tc>
      </w:tr>
      <w:tr w:rsidR="00E640FE" w:rsidRPr="00E640FE" w:rsidTr="00E640FE">
        <w:trPr>
          <w:trHeight w:val="599"/>
        </w:trPr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1001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Javna uprava i administracija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6.365.586,00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6.270.086,00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-95.500,00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2.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1007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Zdravstvo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100.000,00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50.000,00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-50.000,00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3.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Razvoj civilnog društva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1.456.000,00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1.456.000,00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E640FE" w:rsidRPr="00E640FE" w:rsidTr="00E640FE">
        <w:trPr>
          <w:trHeight w:val="594"/>
        </w:trPr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4.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Javne potrebe u kulturi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2.895.800,00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2.864.060,00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-31.740,00</w:t>
            </w:r>
          </w:p>
        </w:tc>
      </w:tr>
      <w:tr w:rsidR="00E640FE" w:rsidRPr="00E640FE" w:rsidTr="00E640FE">
        <w:trPr>
          <w:trHeight w:val="354"/>
        </w:trPr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5.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Sufinanciranje obrazovanja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3.521.626,00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3.521.626,00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0.00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6.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1014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Predškolski odgoj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9.440.061,00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9.440.061,00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0.00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7.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Poticanje demografskog rasta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500.000,00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500.000,00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0.00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8.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Socijalna skrb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1.516.000,00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1.396.000,00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-120.000,00</w:t>
            </w:r>
          </w:p>
        </w:tc>
      </w:tr>
      <w:tr w:rsidR="00E640FE" w:rsidRPr="00E640FE" w:rsidTr="00E640FE">
        <w:trPr>
          <w:trHeight w:val="562"/>
        </w:trPr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9.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Razvoj sporta i rekreacije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1.975.591,00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1.975.591,00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0.00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1019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Poticanja razvoja turizma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138.000,00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138.000,00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0.00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11.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1020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Sjećanje na Domovinski rat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203.700,00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203.700,00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0.00</w:t>
            </w:r>
          </w:p>
        </w:tc>
      </w:tr>
      <w:tr w:rsidR="00E640FE" w:rsidRPr="00E640FE" w:rsidTr="00E640FE"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12.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1021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Program  „Zaželi“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2.821.872,00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2.821.872,00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0.00</w:t>
            </w:r>
          </w:p>
        </w:tc>
      </w:tr>
      <w:tr w:rsidR="00E640FE" w:rsidRPr="00E640FE" w:rsidTr="00E640FE">
        <w:trPr>
          <w:trHeight w:val="426"/>
        </w:trPr>
        <w:tc>
          <w:tcPr>
            <w:tcW w:w="828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13.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1023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Programi za djecu i mlade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150.259,00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150.259,00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0.00</w:t>
            </w:r>
          </w:p>
        </w:tc>
      </w:tr>
      <w:tr w:rsidR="00E640FE" w:rsidRPr="00E640FE" w:rsidTr="00E640FE">
        <w:trPr>
          <w:trHeight w:val="269"/>
        </w:trPr>
        <w:tc>
          <w:tcPr>
            <w:tcW w:w="828" w:type="dxa"/>
            <w:shd w:val="clear" w:color="auto" w:fill="BFBFBF" w:themeFill="background1" w:themeFillShade="BF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</w:pPr>
          </w:p>
        </w:tc>
        <w:tc>
          <w:tcPr>
            <w:tcW w:w="1719" w:type="dxa"/>
            <w:shd w:val="clear" w:color="auto" w:fill="BFBFBF" w:themeFill="background1" w:themeFillShade="BF"/>
          </w:tcPr>
          <w:p w:rsidR="00E640FE" w:rsidRPr="00E640FE" w:rsidRDefault="00E640FE" w:rsidP="00E640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13 programa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640FE" w:rsidRPr="00E640FE" w:rsidRDefault="00E640FE" w:rsidP="00E640FE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Ukupno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31.084.495,00</w:t>
            </w:r>
          </w:p>
        </w:tc>
        <w:tc>
          <w:tcPr>
            <w:tcW w:w="1743" w:type="dxa"/>
            <w:shd w:val="clear" w:color="auto" w:fill="BFBFBF" w:themeFill="background1" w:themeFillShade="BF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30.787.255,00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640FE" w:rsidRPr="00E640FE" w:rsidRDefault="00E640FE" w:rsidP="00E640FE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-297.240,00</w:t>
            </w:r>
          </w:p>
        </w:tc>
      </w:tr>
    </w:tbl>
    <w:p w:rsidR="00E640FE" w:rsidRPr="00E640FE" w:rsidRDefault="00E640FE" w:rsidP="00E640FE">
      <w:pPr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lastRenderedPageBreak/>
        <w:t xml:space="preserve">1.1. </w:t>
      </w: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Program 1001 JAVNA UPRAVA I ADMINISTRACIJA</w:t>
      </w:r>
    </w:p>
    <w:p w:rsidR="00E640FE" w:rsidRPr="00E640FE" w:rsidRDefault="00E640FE" w:rsidP="00E640FE">
      <w:pPr>
        <w:ind w:left="72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U programu 1001 JAVNA UPRAVA I ADMINISTRACIJA mijenja se:</w:t>
      </w:r>
    </w:p>
    <w:p w:rsidR="00E640FE" w:rsidRPr="00E640FE" w:rsidRDefault="00E640FE" w:rsidP="00E640FE">
      <w:pPr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numPr>
          <w:ilvl w:val="2"/>
          <w:numId w:val="36"/>
        </w:numPr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Aktivnost  1001 A100002 Materijalno-financijski rashodi u mjesnoj samoupravi</w:t>
      </w:r>
    </w:p>
    <w:p w:rsidR="00E640FE" w:rsidRPr="00E640FE" w:rsidRDefault="00E640FE" w:rsidP="00E640FE">
      <w:pPr>
        <w:ind w:left="72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Sredstva za financiranje materijalno-financijskih rashoda u mjesnoj samoupravi povećav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aju se na iznos od 4.500,00 kn, i to za potrebe m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jesnog odbora Kozarice za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iznos od 1.500,00 kn  na poziciji nabave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opreme radi nabave peći za grijanje, za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m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jesni odbor </w:t>
      </w:r>
      <w:proofErr w:type="spellStart"/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Plesmo</w:t>
      </w:r>
      <w:proofErr w:type="spellEnd"/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sredstva se povećavaju na poziciji nabave opreme za 2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.000,00 kn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(nabav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u potrebnog namještaja), a za  m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jesni odbor </w:t>
      </w:r>
      <w:proofErr w:type="spellStart"/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Sigetac</w:t>
      </w:r>
      <w:proofErr w:type="spellEnd"/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povećavaju se sredstva u iznosu od 1.000,00 k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n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za obilježavanje blagdana Majke Božje </w:t>
      </w:r>
      <w:proofErr w:type="spellStart"/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Bistričke</w:t>
      </w:r>
      <w:proofErr w:type="spellEnd"/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.</w:t>
      </w:r>
    </w:p>
    <w:p w:rsidR="00E640FE" w:rsidRPr="00E640FE" w:rsidRDefault="00E640FE" w:rsidP="00E640FE">
      <w:pPr>
        <w:ind w:left="72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numPr>
          <w:ilvl w:val="2"/>
          <w:numId w:val="36"/>
        </w:numPr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Tekući projekt 1001 T1000007 Promicanje Grada u sredstvima javnog informiranja</w:t>
      </w:r>
    </w:p>
    <w:p w:rsidR="00E640FE" w:rsidRPr="00E640FE" w:rsidRDefault="00E640FE" w:rsidP="00E640FE">
      <w:pPr>
        <w:ind w:left="72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C40692" w:rsidRDefault="00E640FE" w:rsidP="00C40692">
      <w:pPr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Sredstva za financiranje 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tekućeg projekta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1001 T1000007 </w:t>
      </w:r>
      <w:r w:rsidRPr="00E640FE">
        <w:rPr>
          <w:rFonts w:ascii="Calibri" w:eastAsia="Calibri" w:hAnsi="Calibri" w:cs="Calibri"/>
          <w:i/>
          <w:color w:val="000000"/>
          <w:sz w:val="24"/>
          <w:szCs w:val="24"/>
          <w:lang w:val="hr-HR" w:eastAsia="en-US"/>
        </w:rPr>
        <w:t>Promicanje Grada u sredstvima javnog informiranja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umanjuj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u se za iznos od 100.000,00 kn 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za projekt „Tjednik Sisačko-moslavačke županije“ jer isti još nije realiziran. 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Procjenjuje se da će i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znos od 50.000,00 k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n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biti dostatan za ovu namjenu do kraja godine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, ukoliko se od  mjeseca rujna 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krene s realizacijom. </w:t>
      </w:r>
    </w:p>
    <w:p w:rsidR="00C40692" w:rsidRDefault="00C40692" w:rsidP="00C40692">
      <w:pPr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</w:p>
    <w:p w:rsidR="00E640FE" w:rsidRPr="00E640FE" w:rsidRDefault="00C40692" w:rsidP="00C40692">
      <w:pPr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C40692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 xml:space="preserve">1.2. </w:t>
      </w:r>
      <w:r w:rsidR="00E640FE"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Program 1007 ZDRAVSTVO</w:t>
      </w:r>
    </w:p>
    <w:p w:rsidR="00E640FE" w:rsidRPr="00E640FE" w:rsidRDefault="00E640FE" w:rsidP="00E640FE">
      <w:pPr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 xml:space="preserve">1.2.1.  </w:t>
      </w:r>
      <w:r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 xml:space="preserve">Kapitalni projekt </w:t>
      </w: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1007 K10001 Nabava opreme</w:t>
      </w:r>
    </w:p>
    <w:p w:rsidR="00E640FE" w:rsidRPr="00E640FE" w:rsidRDefault="00E640FE" w:rsidP="00E640FE">
      <w:pPr>
        <w:rPr>
          <w:rFonts w:eastAsia="Calibri"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Sredstva za kapitalni projekt  1007 K10001 </w:t>
      </w:r>
      <w:r w:rsidRPr="00E640FE">
        <w:rPr>
          <w:rFonts w:ascii="Calibri" w:eastAsia="Calibri" w:hAnsi="Calibri" w:cs="Calibri"/>
          <w:i/>
          <w:color w:val="000000"/>
          <w:sz w:val="24"/>
          <w:szCs w:val="24"/>
          <w:lang w:val="hr-HR" w:eastAsia="en-US"/>
        </w:rPr>
        <w:t>Nabava opreme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za nabavu u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ređaja za magnetnu rezonancu b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olnici Pakrac u iznosu od 50.000,00 k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n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se 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ukidaju 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jer se projekt neće realizirati u ovoj godini.</w:t>
      </w:r>
    </w:p>
    <w:p w:rsidR="00E640FE" w:rsidRPr="00E640FE" w:rsidRDefault="00E640FE" w:rsidP="00E640FE">
      <w:pPr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</w:t>
      </w: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1.3. Program 1012 JAVNE POTREBE U KULTURI</w:t>
      </w:r>
    </w:p>
    <w:p w:rsidR="00E640FE" w:rsidRPr="00E640FE" w:rsidRDefault="00E640FE" w:rsidP="00E640FE">
      <w:pPr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1.3.1. Kapitalni projekt 1012 K00003 Arheološka istraživanja</w:t>
      </w: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color w:val="000000"/>
          <w:sz w:val="24"/>
          <w:szCs w:val="24"/>
          <w:lang w:val="hr-HR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>Sredstva za financiranje</w:t>
      </w:r>
      <w:r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 ovog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val="hr-HR"/>
        </w:rPr>
        <w:t>kapitalnog projekta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 umanjuju se na dosad utrošen iznos od 8.260,00 kn</w:t>
      </w:r>
      <w:r w:rsidR="00C40692"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 za trošak 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>ugovora o djelu za prošlogodišnji projekt</w:t>
      </w:r>
      <w:r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 arheoloških istraživanja u c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rkvi sv. Luke Evanđeliste u </w:t>
      </w:r>
      <w:proofErr w:type="spellStart"/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>Novskoj</w:t>
      </w:r>
      <w:proofErr w:type="spellEnd"/>
      <w:r w:rsidRPr="00E640FE">
        <w:rPr>
          <w:rFonts w:ascii="Calibri" w:eastAsia="Calibri" w:hAnsi="Calibri" w:cs="Calibri"/>
          <w:color w:val="000000"/>
          <w:sz w:val="24"/>
          <w:szCs w:val="24"/>
          <w:lang w:val="hr-HR"/>
        </w:rPr>
        <w:t xml:space="preserve"> koji je plaćen u ovoj godini. Novi arheološki projekti u ovoj godini  se neće pokretati.</w:t>
      </w:r>
    </w:p>
    <w:p w:rsidR="00E640FE" w:rsidRPr="00E640FE" w:rsidRDefault="00E640FE" w:rsidP="00E640FE">
      <w:pPr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1.4. Program 1017  SOCIJALNA SKRB</w:t>
      </w:r>
    </w:p>
    <w:p w:rsidR="00E640FE" w:rsidRPr="00E640FE" w:rsidRDefault="00E640FE" w:rsidP="00E640FE">
      <w:pPr>
        <w:rPr>
          <w:rFonts w:eastAsia="Calibri"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  <w:t>1.4.1. Aktivnost 1017 A100001 Pomoć građanima i kućanstvima</w:t>
      </w:r>
    </w:p>
    <w:p w:rsidR="00E640FE" w:rsidRPr="00E640FE" w:rsidRDefault="00E640FE" w:rsidP="00E640FE">
      <w:pPr>
        <w:rPr>
          <w:rFonts w:ascii="Calibri" w:eastAsia="Calibri" w:hAnsi="Calibri" w:cs="Calibri"/>
          <w:b/>
          <w:color w:val="000000"/>
          <w:sz w:val="24"/>
          <w:szCs w:val="24"/>
          <w:lang w:val="hr-HR" w:eastAsia="en-US"/>
        </w:rPr>
      </w:pPr>
    </w:p>
    <w:p w:rsidR="00E640FE" w:rsidRPr="00E640FE" w:rsidRDefault="00E640FE" w:rsidP="00E640FE">
      <w:pPr>
        <w:jc w:val="both"/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</w:pP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Sredstva za financiranje aktivnosti 1017 A100001 </w:t>
      </w:r>
      <w:r w:rsidRPr="00E640FE">
        <w:rPr>
          <w:rFonts w:ascii="Calibri" w:eastAsia="Calibri" w:hAnsi="Calibri" w:cs="Calibri"/>
          <w:i/>
          <w:color w:val="000000"/>
          <w:sz w:val="24"/>
          <w:szCs w:val="24"/>
          <w:lang w:val="hr-HR" w:eastAsia="en-US"/>
        </w:rPr>
        <w:t>Pomoć građanima i kućanstvu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uman</w:t>
      </w:r>
      <w:r w:rsidR="00C40692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juju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se za iznos od 120.000</w:t>
      </w:r>
      <w:r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>,00</w:t>
      </w:r>
      <w:r w:rsidRPr="00E640FE">
        <w:rPr>
          <w:rFonts w:ascii="Calibri" w:eastAsia="Calibri" w:hAnsi="Calibri" w:cs="Calibri"/>
          <w:color w:val="000000"/>
          <w:sz w:val="24"/>
          <w:szCs w:val="24"/>
          <w:lang w:val="hr-HR" w:eastAsia="en-US"/>
        </w:rPr>
        <w:t xml:space="preserve"> kn na poziciji oslobođenja od plaćanja komunalne naknade jer se procjenjuje da će iznos od 50.000,00 kn biti dostatan za ovu namjenu do kraja godine. </w:t>
      </w:r>
    </w:p>
    <w:p w:rsidR="00E640FE" w:rsidRDefault="00E640FE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E640FE" w:rsidRDefault="00E640FE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E640FE" w:rsidRDefault="00E640FE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9811C2" w:rsidRDefault="009811C2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lastRenderedPageBreak/>
        <w:t>2. Razdjel 003 UPRAVNI ODJEL ZA PRORAČUN I FINANCIJE</w:t>
      </w:r>
    </w:p>
    <w:p w:rsidR="009811C2" w:rsidRDefault="009811C2" w:rsidP="009811C2">
      <w:pPr>
        <w:contextualSpacing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9811C2" w:rsidRDefault="009811C2" w:rsidP="009811C2">
      <w:pPr>
        <w:contextualSpacing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Trećim Izmjenama i dopunama Proračuna Grada Novske za 2019. godinu rashodi Upravnog odjela za proračun i financije povećani su s 2.818.324,00 kn na 2.873.313,00 kn, odnosno za 54.989,00 kn ili za 1,95 %. </w:t>
      </w:r>
    </w:p>
    <w:p w:rsidR="009811C2" w:rsidRDefault="009811C2" w:rsidP="009811C2">
      <w:pPr>
        <w:contextualSpacing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D02EA7" w:rsidRPr="00D02EA7" w:rsidRDefault="00D02EA7" w:rsidP="009811C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  <w:lang w:val="pl-PL"/>
        </w:rPr>
      </w:pPr>
      <w:r w:rsidRPr="00D02EA7">
        <w:rPr>
          <w:rFonts w:ascii="Calibri" w:hAnsi="Calibri" w:cs="Calibri"/>
          <w:b/>
          <w:color w:val="000000"/>
          <w:sz w:val="24"/>
          <w:szCs w:val="24"/>
          <w:lang w:val="pl-PL"/>
        </w:rPr>
        <w:t>2.1. Program 1001 JAVNA UPRAVA I ADMINISTRACIJA</w:t>
      </w:r>
    </w:p>
    <w:p w:rsidR="00D02EA7" w:rsidRDefault="00D02EA7" w:rsidP="009811C2">
      <w:pPr>
        <w:contextualSpacing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D02EA7" w:rsidRDefault="00D02EA7" w:rsidP="009811C2">
      <w:pPr>
        <w:contextualSpacing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Program </w:t>
      </w:r>
      <w:r w:rsidRPr="00D02EA7">
        <w:rPr>
          <w:rFonts w:ascii="Calibri" w:hAnsi="Calibri" w:cs="Calibri"/>
          <w:i/>
          <w:color w:val="000000"/>
          <w:sz w:val="24"/>
          <w:szCs w:val="24"/>
          <w:lang w:val="pl-PL"/>
        </w:rPr>
        <w:t>Javna uprava i administracija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 povećan je sadašnjeg plana rashoda 2.818.324,00 kn na 2.873.313,00 kn, odnosno za 54.989,00 kn ili za 1,95 %, i to zbog povećanja aktivnosti materijalno-financijskih rashoda.</w:t>
      </w:r>
    </w:p>
    <w:p w:rsidR="00D02EA7" w:rsidRPr="00206068" w:rsidRDefault="00D02EA7" w:rsidP="009811C2">
      <w:pPr>
        <w:contextualSpacing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9811C2" w:rsidRDefault="009811C2" w:rsidP="009811C2">
      <w:pPr>
        <w:keepNext/>
        <w:keepLines/>
        <w:jc w:val="both"/>
        <w:outlineLvl w:val="2"/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  <w:bookmarkStart w:id="0" w:name="_Toc461980123"/>
      <w:bookmarkStart w:id="1" w:name="_Toc462119802"/>
      <w:r w:rsidRPr="00206068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2</w:t>
      </w:r>
      <w: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.1.1</w:t>
      </w:r>
      <w:r w:rsidRPr="00206068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. Aktivnost 1001 A100002 Materijalno - financijski rashodi</w:t>
      </w:r>
      <w:bookmarkEnd w:id="0"/>
      <w:bookmarkEnd w:id="1"/>
    </w:p>
    <w:p w:rsidR="009811C2" w:rsidRDefault="009811C2" w:rsidP="009811C2">
      <w:pPr>
        <w:keepNext/>
        <w:keepLines/>
        <w:jc w:val="both"/>
        <w:outlineLvl w:val="2"/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9811C2" w:rsidRPr="00D02EA7" w:rsidRDefault="009811C2" w:rsidP="00D02EA7">
      <w:pPr>
        <w:keepNext/>
        <w:keepLines/>
        <w:jc w:val="both"/>
        <w:outlineLvl w:val="2"/>
        <w:rPr>
          <w:rFonts w:ascii="Calibri" w:hAnsi="Calibri" w:cs="Calibri"/>
          <w:color w:val="000000"/>
          <w:sz w:val="24"/>
          <w:szCs w:val="24"/>
          <w:lang w:val="pl-PL"/>
        </w:rPr>
      </w:pPr>
      <w:r w:rsidRPr="00206068">
        <w:rPr>
          <w:rFonts w:ascii="Calibri" w:hAnsi="Calibri" w:cs="Calibri"/>
          <w:color w:val="000000"/>
          <w:sz w:val="24"/>
          <w:szCs w:val="24"/>
          <w:lang w:val="pl-PL"/>
        </w:rPr>
        <w:t xml:space="preserve">Aktivnost materijalno - financijskih rashoda ovim je Izmjenama i dopunama Proračuna povećana sa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669.033,00</w:t>
      </w:r>
      <w:r w:rsidRPr="00206068">
        <w:rPr>
          <w:rFonts w:ascii="Calibri" w:hAnsi="Calibri" w:cs="Calibri"/>
          <w:color w:val="000000"/>
          <w:sz w:val="24"/>
          <w:szCs w:val="24"/>
          <w:lang w:val="pl-PL"/>
        </w:rPr>
        <w:t xml:space="preserve"> kn za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54.989</w:t>
      </w:r>
      <w:r w:rsidRPr="00206068">
        <w:rPr>
          <w:rFonts w:ascii="Calibri" w:hAnsi="Calibri" w:cs="Calibri"/>
          <w:color w:val="000000"/>
          <w:sz w:val="24"/>
          <w:szCs w:val="24"/>
          <w:lang w:val="pl-PL"/>
        </w:rPr>
        <w:t xml:space="preserve">,00 kn ili za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8,22</w:t>
      </w:r>
      <w:r w:rsidRPr="00206068">
        <w:rPr>
          <w:rFonts w:ascii="Calibri" w:hAnsi="Calibri" w:cs="Calibri"/>
          <w:color w:val="000000"/>
          <w:sz w:val="24"/>
          <w:szCs w:val="24"/>
          <w:lang w:val="pl-PL"/>
        </w:rPr>
        <w:t xml:space="preserve"> % te iznosi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724.022</w:t>
      </w:r>
      <w:r w:rsidRPr="00206068">
        <w:rPr>
          <w:rFonts w:ascii="Calibri" w:hAnsi="Calibri" w:cs="Calibri"/>
          <w:color w:val="000000"/>
          <w:sz w:val="24"/>
          <w:szCs w:val="24"/>
          <w:lang w:val="pl-PL"/>
        </w:rPr>
        <w:t>,00 kn.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 Rashodi su povećani za članarine, sukladno dosadašnoj realizaciji i potrebi osiguranja dostatnih sredstava do kraja proračunske godine, za iznos od 4.989,00 kn, dok se preostalih 50.000,00 kn odnosi na</w:t>
      </w:r>
      <w:r w:rsidR="00D02EA7">
        <w:rPr>
          <w:rFonts w:ascii="Calibri" w:hAnsi="Calibri" w:cs="Calibri"/>
          <w:color w:val="000000"/>
          <w:sz w:val="24"/>
          <w:szCs w:val="24"/>
          <w:lang w:val="pl-PL"/>
        </w:rPr>
        <w:t xml:space="preserve"> rashode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D02EA7">
        <w:rPr>
          <w:rFonts w:ascii="Calibri" w:hAnsi="Calibri" w:cs="Calibri"/>
          <w:color w:val="000000"/>
          <w:sz w:val="24"/>
          <w:szCs w:val="24"/>
          <w:lang w:val="pl-PL"/>
        </w:rPr>
        <w:t>implementacije aplikacije za elektroničko izdavanje računa (izlazni e-računi).</w:t>
      </w:r>
    </w:p>
    <w:p w:rsidR="009811C2" w:rsidRDefault="009811C2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C5D06" w:rsidRPr="00CF0286" w:rsidRDefault="007B61ED" w:rsidP="00FC5D06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CF0286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FC5D06" w:rsidRPr="00CF0286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Razdjel 004 UPRAVNI ODJEL ZA GOSPODARSTVO, POLJOPRIVREDU, KOMUNALNI SUSTAV I PROSTORNO UREĐENJE</w:t>
      </w:r>
    </w:p>
    <w:p w:rsidR="002820E8" w:rsidRPr="0006716B" w:rsidRDefault="002820E8" w:rsidP="0071003D">
      <w:pPr>
        <w:contextualSpacing/>
        <w:jc w:val="both"/>
        <w:rPr>
          <w:rFonts w:eastAsia="Calibri"/>
          <w:sz w:val="24"/>
          <w:szCs w:val="24"/>
          <w:lang w:val="hr-HR" w:eastAsia="en-US"/>
        </w:rPr>
      </w:pPr>
    </w:p>
    <w:p w:rsidR="003176C5" w:rsidRDefault="006458BD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Trećim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Izmjenama i dopunama Proračuna Grada Novske za 201</w:t>
      </w:r>
      <w:r w:rsidR="00686B94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godinu, ukupna sredstva za ostvarenje programa Upravnog odjela za gospodarstvo, poljoprivredu, komunalni sustav i prostorno uređenje </w:t>
      </w:r>
      <w:r w:rsidR="003502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povećavaju 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se u iznosu od 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23.2</w:t>
      </w:r>
      <w:r w:rsidR="003502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46.940</w:t>
      </w:r>
      <w:r w:rsid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00 kn (</w:t>
      </w:r>
      <w:r w:rsidR="00E105D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</w:t>
      </w:r>
      <w:r w:rsidR="00E105D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05</w:t>
      </w:r>
      <w:r w:rsid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% u odnosu na planirano) i sada iznose 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87.727</w:t>
      </w:r>
      <w:r w:rsidR="003502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.013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kn. Sredstva se realiziraju kroz  1</w:t>
      </w:r>
      <w:r w:rsidR="009811C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 različit</w:t>
      </w:r>
      <w:r w:rsid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ih programa koji su obuhvaćeni financijskim planom rashoda u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pravnog odjela, a koje provodi 1</w:t>
      </w:r>
      <w:r w:rsidR="00E105D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službenika</w:t>
      </w:r>
      <w:r w:rsidR="00E105D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dva vježbenika</w:t>
      </w:r>
      <w:r w:rsidR="003176C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</w:t>
      </w: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02EA7" w:rsidRDefault="00D02EA7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E640FE" w:rsidRDefault="00E640FE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E640FE" w:rsidRDefault="00E640FE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E640FE" w:rsidRDefault="00E640FE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E640FE" w:rsidRDefault="00E640FE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E640FE" w:rsidRDefault="00E640FE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CF0286" w:rsidRPr="00FB46F2" w:rsidRDefault="003176C5" w:rsidP="00CF0286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F0286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lastRenderedPageBreak/>
        <w:t>Tablica</w:t>
      </w:r>
      <w:r w:rsidR="00E640F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 xml:space="preserve"> 2</w:t>
      </w:r>
      <w:r w:rsidR="007B61ED" w:rsidRPr="00CF0286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 xml:space="preserve">: </w:t>
      </w:r>
      <w:proofErr w:type="spellStart"/>
      <w:r w:rsidR="00CF0286" w:rsidRPr="00CF0286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Prikaz</w:t>
      </w:r>
      <w:proofErr w:type="spellEnd"/>
      <w:r w:rsidR="00CF0286" w:rsidRPr="00CF0286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izmjena</w:t>
      </w:r>
      <w:proofErr w:type="spellEnd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programa</w:t>
      </w:r>
      <w:proofErr w:type="spellEnd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Upravnog</w:t>
      </w:r>
      <w:proofErr w:type="spellEnd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odjela</w:t>
      </w:r>
      <w:proofErr w:type="spellEnd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</w:t>
      </w:r>
      <w:proofErr w:type="spellEnd"/>
      <w:r w:rsidR="00CF0286" w:rsidRPr="00FB46F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gospodarstvo</w:t>
      </w:r>
      <w:proofErr w:type="spellEnd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,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poljoprivredu</w:t>
      </w:r>
      <w:proofErr w:type="spellEnd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,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komunalni</w:t>
      </w:r>
      <w:proofErr w:type="spellEnd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sustav</w:t>
      </w:r>
      <w:proofErr w:type="spellEnd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</w:t>
      </w:r>
      <w:proofErr w:type="spellEnd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prostorno</w:t>
      </w:r>
      <w:proofErr w:type="spellEnd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CF02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uređenje</w:t>
      </w:r>
      <w:proofErr w:type="spellEnd"/>
      <w:r w:rsidR="009C78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spellStart"/>
      <w:r w:rsidR="009C78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</w:t>
      </w:r>
      <w:proofErr w:type="spellEnd"/>
      <w:r w:rsidR="009C78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2019. godinu</w:t>
      </w:r>
    </w:p>
    <w:p w:rsidR="007B61ED" w:rsidRPr="007B61ED" w:rsidRDefault="007B61ED" w:rsidP="007B61ED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701"/>
        <w:gridCol w:w="1701"/>
        <w:gridCol w:w="1701"/>
      </w:tblGrid>
      <w:tr w:rsidR="00C40692" w:rsidRPr="007B61ED" w:rsidTr="008C1F7D">
        <w:trPr>
          <w:trHeight w:val="58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Rednibroj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Brojčana oznaka programa u proračunu za 2019.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Naziv progr</w:t>
            </w:r>
            <w:r w:rsidRPr="007B61ED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ama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Plan</w:t>
            </w:r>
          </w:p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2019.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Izmjene</w:t>
            </w:r>
          </w:p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2019.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C40692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</w:p>
          <w:p w:rsidR="00C40692" w:rsidRPr="00E640FE" w:rsidRDefault="00C40692" w:rsidP="00BF6F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</w:pPr>
            <w:r w:rsidRPr="00E640FE">
              <w:rPr>
                <w:rFonts w:ascii="Calibri" w:eastAsia="Calibri" w:hAnsi="Calibri" w:cs="Calibri"/>
                <w:b/>
                <w:sz w:val="24"/>
                <w:szCs w:val="24"/>
                <w:lang w:val="hr-HR" w:eastAsia="en-US"/>
              </w:rPr>
              <w:t>Promjene</w:t>
            </w:r>
          </w:p>
        </w:tc>
      </w:tr>
      <w:tr w:rsidR="00C40692" w:rsidRPr="007B61ED" w:rsidTr="00E640FE">
        <w:tc>
          <w:tcPr>
            <w:tcW w:w="8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Javna uprava i administracija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3.334.098,00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3.334.136,00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38,00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Upravljanje imovinom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2.673.644,00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2.646.894,00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-26.750,00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Projektiranje i građenje objekata u vlasništvu Grada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22.302.951,00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45.0</w:t>
            </w: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61.978,00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22.7</w:t>
            </w: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59.027,00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1004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Održavanje objekata i uređaja komunalne infrastrukture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4.680.000,00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5.830.000,00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1.150.000,00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20.480.078,00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19.997.578,00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-482.500,00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6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1006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Zaštita okoliša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1.128.164,00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1.100.289,00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-27.875,00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7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Zdravstvo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371.700,00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371.700,00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8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Organiziranje i provođenje zaštite i spašavanja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3.773.938</w:t>
            </w: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3.773.938</w:t>
            </w: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9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1009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Prostorno uređenje i unapređenje stanovanja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403.000,00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403.000,00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,00</w:t>
            </w:r>
          </w:p>
        </w:tc>
      </w:tr>
      <w:tr w:rsidR="00C40692" w:rsidRPr="007B61ED" w:rsidTr="00E640FE">
        <w:tc>
          <w:tcPr>
            <w:tcW w:w="817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1010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Gospodarstvo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4.002.500,00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3.877.500,00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-125.000,00</w:t>
            </w:r>
          </w:p>
        </w:tc>
      </w:tr>
      <w:tr w:rsidR="00C40692" w:rsidRPr="007B61ED" w:rsidTr="00E640FE"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11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Poticanje razvoja turizma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B61ED">
              <w:rPr>
                <w:rFonts w:asciiTheme="minorHAnsi" w:hAnsiTheme="minorHAnsi" w:cstheme="minorHAnsi"/>
                <w:sz w:val="24"/>
                <w:szCs w:val="24"/>
              </w:rPr>
              <w:t>1.330.000,00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1.330.000,00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7B61ED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,00</w:t>
            </w:r>
          </w:p>
        </w:tc>
      </w:tr>
      <w:tr w:rsidR="00C40692" w:rsidRPr="007B61ED" w:rsidTr="00E640FE">
        <w:trPr>
          <w:trHeight w:val="641"/>
        </w:trPr>
        <w:tc>
          <w:tcPr>
            <w:tcW w:w="817" w:type="dxa"/>
            <w:shd w:val="clear" w:color="auto" w:fill="BFBFBF" w:themeFill="background1" w:themeFillShade="BF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40692" w:rsidRPr="009811C2" w:rsidRDefault="00C40692" w:rsidP="009811C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9811C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11 programa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40692" w:rsidRPr="007B61ED" w:rsidRDefault="00C40692" w:rsidP="007B61ED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Ukupno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0692" w:rsidRPr="007B61ED" w:rsidRDefault="00C40692" w:rsidP="007B61E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64.480.073</w:t>
            </w:r>
            <w:r w:rsidRPr="007B61ED">
              <w:rPr>
                <w:rFonts w:asciiTheme="minorHAnsi" w:hAnsiTheme="minorHAnsi"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0692" w:rsidRPr="007B61ED" w:rsidRDefault="00C40692" w:rsidP="00AE4AEA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87.727.013,00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0692" w:rsidRPr="007B61ED" w:rsidRDefault="00C40692" w:rsidP="007B61ED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23.246.940,00</w:t>
            </w:r>
          </w:p>
        </w:tc>
      </w:tr>
    </w:tbl>
    <w:p w:rsidR="00CF0286" w:rsidRDefault="00CF0286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CF0286" w:rsidRDefault="00CF0286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C5D06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813F6D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.1. </w:t>
      </w:r>
      <w:r w:rsidR="00FC5D06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Program 1001 JAVNA UPRAVA I ADMINISTRACIJA</w:t>
      </w:r>
      <w:r w:rsidR="00813F6D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</w:p>
    <w:p w:rsidR="00514944" w:rsidRPr="007B61ED" w:rsidRDefault="00514944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F5503" w:rsidRPr="007B61ED" w:rsidRDefault="007B61ED" w:rsidP="007B61ED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F5503" w:rsidRPr="007B61ED">
        <w:rPr>
          <w:rFonts w:asciiTheme="minorHAnsi" w:hAnsiTheme="minorHAnsi" w:cstheme="minorHAnsi"/>
          <w:b/>
          <w:sz w:val="24"/>
          <w:szCs w:val="24"/>
          <w:lang w:val="hr-HR"/>
        </w:rPr>
        <w:t>.1.</w:t>
      </w:r>
      <w:r w:rsidR="0076608B" w:rsidRPr="007B61ED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9F5503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Aktivnost 1001 A100002 Materijalno</w:t>
      </w:r>
      <w:r w:rsidR="00CF0286">
        <w:rPr>
          <w:rFonts w:asciiTheme="minorHAnsi" w:hAnsiTheme="minorHAnsi" w:cstheme="minorHAnsi"/>
          <w:b/>
          <w:sz w:val="24"/>
          <w:szCs w:val="24"/>
          <w:lang w:val="hr-HR"/>
        </w:rPr>
        <w:t>-</w:t>
      </w:r>
      <w:r w:rsidR="009F5503" w:rsidRPr="007B61ED">
        <w:rPr>
          <w:rFonts w:asciiTheme="minorHAnsi" w:hAnsiTheme="minorHAnsi" w:cstheme="minorHAnsi"/>
          <w:b/>
          <w:sz w:val="24"/>
          <w:szCs w:val="24"/>
          <w:lang w:val="hr-HR"/>
        </w:rPr>
        <w:t>financijski rashodi</w:t>
      </w:r>
    </w:p>
    <w:p w:rsidR="009F5503" w:rsidRPr="007B61ED" w:rsidRDefault="009F5503" w:rsidP="007B61ED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D7CE1" w:rsidRPr="009811C2" w:rsidRDefault="009F5503" w:rsidP="007B61ED">
      <w:p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ove aktivnosti </w:t>
      </w:r>
      <w:r w:rsidR="00A43959" w:rsidRPr="007B61E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76608B" w:rsidRPr="007B61ED">
        <w:rPr>
          <w:rFonts w:asciiTheme="minorHAnsi" w:hAnsiTheme="minorHAnsi" w:cstheme="minorHAnsi"/>
          <w:sz w:val="24"/>
          <w:szCs w:val="24"/>
          <w:lang w:val="hr-HR"/>
        </w:rPr>
        <w:t>30.000</w:t>
      </w:r>
      <w:r w:rsidR="00E53916" w:rsidRPr="007B61ED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kn, te sada iznose </w:t>
      </w:r>
      <w:r w:rsidR="0076608B" w:rsidRPr="007B61ED">
        <w:rPr>
          <w:rFonts w:asciiTheme="minorHAnsi" w:hAnsiTheme="minorHAnsi" w:cstheme="minorHAnsi"/>
          <w:sz w:val="24"/>
          <w:szCs w:val="24"/>
          <w:lang w:val="hr-HR"/>
        </w:rPr>
        <w:t>433.457,00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kn.</w:t>
      </w:r>
      <w:r w:rsid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Unutar aktivnosti </w:t>
      </w:r>
      <w:r w:rsidR="00E53916" w:rsidRPr="007B61E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sredstva za </w:t>
      </w:r>
      <w:r w:rsidR="00E53916" w:rsidRPr="007B61ED">
        <w:rPr>
          <w:rFonts w:asciiTheme="minorHAnsi" w:hAnsiTheme="minorHAnsi" w:cstheme="minorHAnsi"/>
          <w:i/>
          <w:sz w:val="24"/>
          <w:szCs w:val="24"/>
          <w:lang w:val="hr-HR"/>
        </w:rPr>
        <w:t>intelektualne usluge</w:t>
      </w:r>
      <w:r w:rsidR="0076608B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u iznosu od 50.000,00 kn. Procjena je da će iznos koji preostaje na poziciji (100.000,00 kn) biti dostatan do kraja godine.</w:t>
      </w:r>
      <w:r w:rsid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5391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Povećavaju se sredstva za </w:t>
      </w:r>
      <w:r w:rsidR="00E53916" w:rsidRPr="007B61ED">
        <w:rPr>
          <w:rFonts w:asciiTheme="minorHAnsi" w:hAnsiTheme="minorHAnsi" w:cstheme="minorHAnsi"/>
          <w:i/>
          <w:sz w:val="24"/>
          <w:szCs w:val="24"/>
          <w:lang w:val="hr-HR"/>
        </w:rPr>
        <w:t>ostale</w:t>
      </w:r>
      <w:r w:rsidR="00B017F2" w:rsidRPr="007B61ED">
        <w:rPr>
          <w:rFonts w:asciiTheme="minorHAnsi" w:hAnsiTheme="minorHAnsi" w:cstheme="minorHAnsi"/>
          <w:i/>
          <w:sz w:val="24"/>
          <w:szCs w:val="24"/>
          <w:lang w:val="hr-HR"/>
        </w:rPr>
        <w:t xml:space="preserve"> nespomenute rashode poslovanja</w:t>
      </w:r>
      <w:r w:rsidR="00E5391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F0286">
        <w:rPr>
          <w:rFonts w:asciiTheme="minorHAnsi" w:hAnsiTheme="minorHAnsi" w:cstheme="minorHAnsi"/>
          <w:sz w:val="24"/>
          <w:szCs w:val="24"/>
          <w:lang w:val="hr-HR"/>
        </w:rPr>
        <w:t xml:space="preserve">u iznosu </w:t>
      </w:r>
      <w:r w:rsidR="00CF0286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od </w:t>
      </w:r>
      <w:r w:rsidR="0076608B" w:rsidRPr="007B61ED">
        <w:rPr>
          <w:rFonts w:asciiTheme="minorHAnsi" w:hAnsiTheme="minorHAnsi" w:cstheme="minorHAnsi"/>
          <w:sz w:val="24"/>
          <w:szCs w:val="24"/>
          <w:lang w:val="hr-HR"/>
        </w:rPr>
        <w:t>20.000,00 kn. Zbog dosadašnje realizacije na ovoj poziciji ukazuje se potreba za povećanjem, kako bi se osigurala potrebn</w:t>
      </w:r>
      <w:r w:rsidR="009811C2">
        <w:rPr>
          <w:rFonts w:asciiTheme="minorHAnsi" w:hAnsiTheme="minorHAnsi" w:cstheme="minorHAnsi"/>
          <w:sz w:val="24"/>
          <w:szCs w:val="24"/>
          <w:lang w:val="hr-HR"/>
        </w:rPr>
        <w:t>a sredstva za naredno razdoblje.</w:t>
      </w:r>
    </w:p>
    <w:p w:rsidR="003D60DE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357363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.2. Program 1002 </w:t>
      </w:r>
      <w:r w:rsidR="003D60DE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UPRAVLJANJE IMOVINOM</w:t>
      </w:r>
    </w:p>
    <w:p w:rsidR="003D60DE" w:rsidRPr="007B61ED" w:rsidRDefault="003D60DE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4518B6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4518B6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9E5B44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4518B6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 </w:t>
      </w:r>
      <w:r w:rsidR="00076CF2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Aktivnost</w:t>
      </w:r>
      <w:r w:rsidR="004518B6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1002 </w:t>
      </w:r>
      <w:r w:rsidR="00076CF2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A</w:t>
      </w:r>
      <w:r w:rsidR="004518B6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10000</w:t>
      </w:r>
      <w:r w:rsidR="00076CF2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4518B6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="00076CF2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Režijski troškovi objekata</w:t>
      </w:r>
    </w:p>
    <w:p w:rsidR="00CF0286" w:rsidRDefault="00CF0286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C45800" w:rsidRPr="007B61ED" w:rsidRDefault="00C45800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ove aktivnosti </w:t>
      </w:r>
      <w:r w:rsidR="00B017F2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povećavaju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562D80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750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kn, te sada iznose </w:t>
      </w:r>
      <w:r w:rsidR="00B017F2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60</w:t>
      </w:r>
      <w:r w:rsidR="00562D80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</w:t>
      </w:r>
      <w:r w:rsidR="00B017F2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="00562D80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200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kn.</w:t>
      </w:r>
      <w:r w:rsidR="00562D80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Ovo povećanje se odnosi na trošak naknade za slivne vode za objekte u vlasništvu grada.</w:t>
      </w:r>
    </w:p>
    <w:p w:rsidR="009E7EC6" w:rsidRPr="007B61ED" w:rsidRDefault="009E7EC6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AD4D05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D4D05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562D80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="00AD4D05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 1002 T100007 Održavanje športskih objekata</w:t>
      </w:r>
    </w:p>
    <w:p w:rsidR="00AD4D05" w:rsidRPr="007B61ED" w:rsidRDefault="00AD4D05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6471D" w:rsidRPr="007B61ED" w:rsidRDefault="0036471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</w:t>
      </w:r>
      <w:r w:rsidR="0081539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og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81539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projekta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562D80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smanjuju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562D80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7.500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kn, te sada iznose 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</w:t>
      </w:r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62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00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kn, i to tako da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 rashodi za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2D4636" w:rsidRPr="007B61ED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>održavanje ostalih športskih objekata</w:t>
      </w:r>
      <w:r w:rsidR="0038664B" w:rsidRPr="007B61ED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 xml:space="preserve">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povećaju</w:t>
      </w:r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za 62.500,00 kn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(</w:t>
      </w:r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ograda na nogometnom igralištu u </w:t>
      </w:r>
      <w:proofErr w:type="spellStart"/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Bročicama</w:t>
      </w:r>
      <w:proofErr w:type="spellEnd"/>
      <w:r w:rsidR="0038664B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)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uz istovremeno smanjenje rashoda za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CF0286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>izradu</w:t>
      </w:r>
      <w:r w:rsidR="001951CC" w:rsidRPr="007B61ED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 xml:space="preserve"> fasade na svlačionici u </w:t>
      </w:r>
      <w:proofErr w:type="spellStart"/>
      <w:r w:rsidR="001951CC" w:rsidRPr="007B61ED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>Jazavici</w:t>
      </w:r>
      <w:proofErr w:type="spellEnd"/>
      <w:r w:rsidR="002D4636" w:rsidRPr="007B61ED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 xml:space="preserve"> </w:t>
      </w:r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(ukidanje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pozicije od 70.000,00 kn </w:t>
      </w:r>
      <w:r w:rsidR="002D4636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jer se projekt planira kandidirati na javne pozive za sufinanciranje)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3B1DEB" w:rsidRPr="007B61ED" w:rsidRDefault="003B1DEB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FB6706" w:rsidRPr="00AD18B8" w:rsidRDefault="007B61ED" w:rsidP="00CF02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</w:pPr>
      <w:r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>3</w:t>
      </w:r>
      <w:r w:rsidR="003B1DEB"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>.2.</w:t>
      </w:r>
      <w:r w:rsidR="004159D7"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>3</w:t>
      </w:r>
      <w:r w:rsidR="003B1DEB"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>. Tekući projekt</w:t>
      </w:r>
      <w:r w:rsidR="00FB6706"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 xml:space="preserve"> 1002 T100008</w:t>
      </w:r>
      <w:r w:rsidR="003B1DEB"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 xml:space="preserve"> Održavanje domova i ostalih </w:t>
      </w:r>
      <w:r w:rsidR="00FB6706" w:rsidRPr="00AD18B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hr-HR" w:eastAsia="en-US"/>
        </w:rPr>
        <w:t>objekata u vlasništvu grada</w:t>
      </w:r>
    </w:p>
    <w:p w:rsidR="00CF0286" w:rsidRPr="007B61ED" w:rsidRDefault="00CF0286" w:rsidP="00CF02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76C5F" w:rsidRPr="007B61ED" w:rsidRDefault="0036471D" w:rsidP="00CF02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</w:t>
      </w:r>
      <w:r w:rsidR="0081539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og projekta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590F4B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smanjuju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20.000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kn, te sada iznose 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662.894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kn.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Predviđeno je smanjenje rashoda za</w:t>
      </w:r>
      <w:r w:rsidR="001951C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CF0286" w:rsidRPr="00AD18B8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projekt uređenja okoliša oko </w:t>
      </w:r>
      <w:r w:rsidR="004159D7" w:rsidRPr="00AD18B8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dom</w:t>
      </w:r>
      <w:r w:rsidR="00CF0286" w:rsidRPr="00AD18B8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a u  </w:t>
      </w:r>
      <w:proofErr w:type="spellStart"/>
      <w:r w:rsidR="00CF0286" w:rsidRPr="00AD18B8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Brestači</w:t>
      </w:r>
      <w:proofErr w:type="spellEnd"/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Budući da će projekt izraditi krajobrazni arhitekt zaposlen u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trgovačkom društvu u pretežitom vlasništvu Grada</w:t>
      </w:r>
      <w:r w:rsidR="00AD18B8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proofErr w:type="spellStart"/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Novokom</w:t>
      </w:r>
      <w:proofErr w:type="spellEnd"/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d.o.o, neće biti troška po ovoj osnovi.</w:t>
      </w:r>
    </w:p>
    <w:p w:rsidR="003B2AA7" w:rsidRPr="007B61ED" w:rsidRDefault="003B2AA7" w:rsidP="007B61ED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3B2AA7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3B2AA7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 Program 1003 PROJEKTIRANJE I GRAĐENJE OBJEKATA U VLASNIŠTVU GRADA</w:t>
      </w:r>
    </w:p>
    <w:p w:rsidR="007055C7" w:rsidRPr="007B61ED" w:rsidRDefault="007055C7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0D4E6A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0D4E6A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</w:t>
      </w:r>
      <w:r w:rsidR="00A5707C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0D4E6A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Kapitalni projekt 1003 K100005 Izrada projektne dokumentacije</w:t>
      </w:r>
    </w:p>
    <w:p w:rsidR="000D4E6A" w:rsidRPr="007B61ED" w:rsidRDefault="000D4E6A" w:rsidP="007B61ED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B80A91" w:rsidRPr="00CF0286" w:rsidRDefault="000D4E6A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ovog projekta 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povećavaju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22.500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kn, te sada iznose 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1.012.000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kn. 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Promjena je vezana uz uvođenje nove pozicije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rashoda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za izradu</w:t>
      </w:r>
      <w:r w:rsidR="004159D7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CF0286" w:rsidRP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</w:t>
      </w:r>
      <w:r w:rsidR="004159D7" w:rsidRP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rojektn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 dokumentacije</w:t>
      </w:r>
      <w:r w:rsidR="00CF0286" w:rsidRP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za energetsku</w:t>
      </w:r>
      <w:r w:rsidR="004159D7" w:rsidRP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obnovu svlačionica u </w:t>
      </w:r>
      <w:proofErr w:type="spellStart"/>
      <w:r w:rsidR="004159D7" w:rsidRP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Jazavici</w:t>
      </w:r>
      <w:proofErr w:type="spellEnd"/>
      <w:r w:rsidR="004159D7" w:rsidRP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7B61ED" w:rsidRPr="00CF0286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AD431C" w:rsidRP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D431C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</w:t>
      </w:r>
      <w:r w:rsidR="00A5707C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="00AD431C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Kapitalni projekt 1003 K1000</w:t>
      </w:r>
      <w:r w:rsidR="007272EE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06 Izgradnja dječjeg vrtića</w:t>
      </w:r>
    </w:p>
    <w:p w:rsidR="006F2349" w:rsidRPr="007B61ED" w:rsidRDefault="006F2349" w:rsidP="007B61ED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5A21FE" w:rsidRPr="007B61ED" w:rsidRDefault="00C20297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</w:t>
      </w:r>
      <w:r w:rsidR="0081539C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og projekta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B80A91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povećavaju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</w:t>
      </w:r>
      <w:r w:rsidR="00245E6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100</w:t>
      </w:r>
      <w:r w:rsidR="000D4E6A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.000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kn, te sada iznose </w:t>
      </w:r>
      <w:r w:rsidR="00B80A91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4.</w:t>
      </w:r>
      <w:r w:rsidR="00245E6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</w:t>
      </w:r>
      <w:r w:rsidR="00B80A91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61.840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,00 kn. </w:t>
      </w:r>
      <w:r w:rsidR="00245E6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Promjena se odnosi na dvije pozicije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rashoda koji</w:t>
      </w:r>
      <w:r w:rsidR="00245E65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financiraju iz sredstava pomoći. Sredstva MRRFEU planirana u iznosu od 700.000,00 kn smanjuju se na 500.000,00 kn, dok se sredstva planirana od strane Središnjeg državnog ureda za stambeno zbrinjavanje povećavaju za 300.000,00 kn. </w:t>
      </w:r>
    </w:p>
    <w:p w:rsidR="005A21FE" w:rsidRPr="007B61ED" w:rsidRDefault="005A21FE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37C63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</w:t>
      </w:r>
      <w:r w:rsidR="00A5707C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37C63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Kapitalni projekt 1003 K1000</w:t>
      </w:r>
      <w:r w:rsidR="00F0499A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07 Klaster kulture na temeljima kulturne baštine pov</w:t>
      </w:r>
      <w:r w:rsidR="005E18DD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i</w:t>
      </w:r>
      <w:r w:rsidR="00F0499A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jesne jezgre Novske</w:t>
      </w:r>
    </w:p>
    <w:p w:rsidR="007B61ED" w:rsidRDefault="007B61ED" w:rsidP="007B61ED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067049" w:rsidRDefault="00245E65" w:rsidP="009811C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Proje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kt se odnosi na rekonstrukciju h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otela </w:t>
      </w:r>
      <w:proofErr w:type="spellStart"/>
      <w:r w:rsidRPr="0015763B">
        <w:rPr>
          <w:rFonts w:asciiTheme="minorHAnsi" w:eastAsia="Calibri" w:hAnsiTheme="minorHAnsi" w:cstheme="minorHAnsi"/>
          <w:i/>
          <w:sz w:val="24"/>
          <w:szCs w:val="24"/>
          <w:lang w:val="hr-HR" w:eastAsia="en-US"/>
        </w:rPr>
        <w:t>Knopp</w:t>
      </w:r>
      <w:proofErr w:type="spellEnd"/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</w:t>
      </w:r>
      <w:proofErr w:type="spellStart"/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Novskoj</w:t>
      </w:r>
      <w:proofErr w:type="spellEnd"/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</w:t>
      </w:r>
      <w:r w:rsidR="004D7CE1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ovog projekta 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povećavaju se za iznos od 26.293.200,00 kn. Naime, sukladno troškovniku potrebno je osigurati 26.300.000,00 kn za obnovu hotela, i to 25.000.000,00 kn kreditnim zaduženjem, </w:t>
      </w:r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lastRenderedPageBreak/>
        <w:t xml:space="preserve">dok preostalih 1.300.000,00 kn čine </w:t>
      </w:r>
      <w:r w:rsidR="00014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prihodi</w:t>
      </w:r>
      <w:bookmarkStart w:id="2" w:name="_GoBack"/>
      <w:bookmarkEnd w:id="2"/>
      <w:r w:rsidR="004D7CE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proračuna.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Također, predviđeno 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je 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 smanjenje rashoda za konzervatorsko-restauratorske radove</w:t>
      </w:r>
      <w:r w:rsidR="00067049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</w:t>
      </w:r>
      <w:r w:rsidR="00CF0286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su od 6.800,00 kn sukladno dosadašnjoj realizaciji.</w:t>
      </w:r>
    </w:p>
    <w:p w:rsidR="00A72E56" w:rsidRPr="007B61ED" w:rsidRDefault="00A72E56" w:rsidP="009811C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067049" w:rsidRPr="007B61ED" w:rsidRDefault="007B61ED" w:rsidP="007B61ED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067049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.3.4. Kapitalni projekt 1003 K100008 Dom za starije osobe</w:t>
      </w:r>
    </w:p>
    <w:p w:rsidR="00067049" w:rsidRPr="007B61ED" w:rsidRDefault="00067049" w:rsidP="007B61ED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067049" w:rsidRPr="007B61ED" w:rsidRDefault="0015763B" w:rsidP="007B61ED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Za ovaj projekt je planiran iznos od 200.000,00 kn za izradu</w:t>
      </w:r>
      <w:r w:rsidR="00067049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projektne dokumentacije kojom će se isplanirati rekonstrukcija i prenamjena zgrade u kojoj trenutno boravi tvrtka Vodovod Novska d.o.o. u dom za starije osobe.</w:t>
      </w:r>
    </w:p>
    <w:p w:rsidR="00C20297" w:rsidRPr="007B61ED" w:rsidRDefault="00C20297" w:rsidP="007B61ED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170A15" w:rsidRPr="007B61ED">
        <w:rPr>
          <w:rFonts w:asciiTheme="minorHAnsi" w:hAnsiTheme="minorHAnsi" w:cstheme="minorHAnsi"/>
          <w:b/>
          <w:sz w:val="24"/>
          <w:szCs w:val="24"/>
          <w:lang w:val="hr-HR"/>
        </w:rPr>
        <w:t>.3.</w:t>
      </w:r>
      <w:r w:rsidR="00067049" w:rsidRPr="007B61ED">
        <w:rPr>
          <w:rFonts w:asciiTheme="minorHAnsi" w:hAnsiTheme="minorHAnsi" w:cstheme="minorHAnsi"/>
          <w:b/>
          <w:sz w:val="24"/>
          <w:szCs w:val="24"/>
          <w:lang w:val="hr-HR"/>
        </w:rPr>
        <w:t>5</w:t>
      </w:r>
      <w:r w:rsidR="00170A15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1003 K100013 Energ</w:t>
      </w:r>
      <w:r w:rsidR="0015763B">
        <w:rPr>
          <w:rFonts w:asciiTheme="minorHAnsi" w:hAnsiTheme="minorHAnsi" w:cstheme="minorHAnsi"/>
          <w:b/>
          <w:sz w:val="24"/>
          <w:szCs w:val="24"/>
          <w:lang w:val="hr-HR"/>
        </w:rPr>
        <w:t>etska obnova Hrvatskog doma u Novoj</w:t>
      </w:r>
      <w:r w:rsidR="00170A15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proofErr w:type="spellStart"/>
      <w:r w:rsidR="00170A15" w:rsidRPr="007B61ED">
        <w:rPr>
          <w:rFonts w:asciiTheme="minorHAnsi" w:hAnsiTheme="minorHAnsi" w:cstheme="minorHAnsi"/>
          <w:b/>
          <w:sz w:val="24"/>
          <w:szCs w:val="24"/>
          <w:lang w:val="hr-HR"/>
        </w:rPr>
        <w:t>Subockoj</w:t>
      </w:r>
      <w:proofErr w:type="spellEnd"/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46B3D" w:rsidRPr="0015763B" w:rsidRDefault="009527EE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ovog projekta povećavaju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se za  iznos od 173.338,00 kn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te sada iznose 1.211.989,00 kn. Povećanje se odnosi na trošak sanacije krova na objektu. Sanacija krova nije bila sastavni dio energetske obnove objek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ta, a zbog lošeg stanja krova, 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 ciljem sprečavanja šteta na obnovljenom objektu uslijed prokišnjavanja, izvršena</w:t>
      </w:r>
      <w:r w:rsidR="003B4B7D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je obnova krova</w:t>
      </w:r>
      <w:r w:rsidR="00BA147A"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BA147A" w:rsidRPr="007B61ED" w:rsidRDefault="00BA147A" w:rsidP="007B61ED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15763B" w:rsidRDefault="007B61ED" w:rsidP="0015763B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BA147A" w:rsidRPr="007B61ED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.3.6. Kapitalni projekt 1003 K100014 Energetska obnova zgrade gradske vijećnice</w:t>
      </w:r>
    </w:p>
    <w:p w:rsidR="0015763B" w:rsidRDefault="0015763B" w:rsidP="0015763B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BA147A" w:rsidRPr="0015763B" w:rsidRDefault="00BA147A" w:rsidP="0015763B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Ovaj projekt se u cijelosti 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briše. Objekt je prijavljen na J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avni poziv Fonda za zaštitu okoliša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energetsku učinkovitost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s ciljem energetske obnove objekta. Prijava je prošla prvu fazu provjere i dobivena je odluka o financiranju. U postupku pripreme ugo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vora o financiranju, od strane F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onda je utvrđeno da politička stranka SDP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koja ima suvlasnički udjel u vlasništvu zgrade</w:t>
      </w:r>
      <w:r w:rsidR="0015763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Pr="007B61E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nije prihvatljiva kao suvlasnik, te je odbijeno sklapanje ugovora.</w:t>
      </w:r>
    </w:p>
    <w:p w:rsidR="006B7B8C" w:rsidRPr="007B61ED" w:rsidRDefault="006B7B8C" w:rsidP="007B61ED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3B0BA0" w:rsidRPr="007B61ED">
        <w:rPr>
          <w:rFonts w:asciiTheme="minorHAnsi" w:hAnsiTheme="minorHAnsi" w:cstheme="minorHAnsi"/>
          <w:b/>
          <w:sz w:val="24"/>
          <w:szCs w:val="24"/>
          <w:lang w:val="hr-HR"/>
        </w:rPr>
        <w:t>.3.</w:t>
      </w:r>
      <w:r w:rsidR="00A5707C" w:rsidRPr="007B61ED">
        <w:rPr>
          <w:rFonts w:asciiTheme="minorHAnsi" w:hAnsiTheme="minorHAnsi" w:cstheme="minorHAnsi"/>
          <w:b/>
          <w:sz w:val="24"/>
          <w:szCs w:val="24"/>
          <w:lang w:val="hr-HR"/>
        </w:rPr>
        <w:t>7</w:t>
      </w:r>
      <w:r w:rsidR="003B0BA0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1003 K1000</w:t>
      </w:r>
      <w:r w:rsidR="00BA147A" w:rsidRPr="007B61ED">
        <w:rPr>
          <w:rFonts w:asciiTheme="minorHAnsi" w:hAnsiTheme="minorHAnsi" w:cstheme="minorHAnsi"/>
          <w:b/>
          <w:sz w:val="24"/>
          <w:szCs w:val="24"/>
          <w:lang w:val="hr-HR"/>
        </w:rPr>
        <w:t>21</w:t>
      </w:r>
      <w:r w:rsidR="003B0BA0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BA147A" w:rsidRPr="007B61ED">
        <w:rPr>
          <w:rFonts w:asciiTheme="minorHAnsi" w:hAnsiTheme="minorHAnsi" w:cstheme="minorHAnsi"/>
          <w:b/>
          <w:sz w:val="24"/>
          <w:szCs w:val="24"/>
          <w:lang w:val="hr-HR"/>
        </w:rPr>
        <w:t>Uređenje poslovnog prostora za rad NORA-e</w:t>
      </w:r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3B0BA0" w:rsidRPr="0015763B" w:rsidRDefault="00103F94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rojekt 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se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odnosi na uređenje prostora u </w:t>
      </w:r>
      <w:r w:rsidR="00BA147A" w:rsidRPr="007B61ED">
        <w:rPr>
          <w:rFonts w:asciiTheme="minorHAnsi" w:hAnsiTheme="minorHAnsi" w:cstheme="minorHAnsi"/>
          <w:sz w:val="24"/>
          <w:szCs w:val="24"/>
          <w:lang w:val="hr-HR"/>
        </w:rPr>
        <w:t>zgradi u Potočnoj ulici kbr.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BA147A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25 u </w:t>
      </w:r>
      <w:proofErr w:type="spellStart"/>
      <w:r w:rsidR="00BA147A" w:rsidRPr="007B61ED">
        <w:rPr>
          <w:rFonts w:asciiTheme="minorHAnsi" w:hAnsiTheme="minorHAnsi" w:cstheme="minorHAnsi"/>
          <w:sz w:val="24"/>
          <w:szCs w:val="24"/>
          <w:lang w:val="hr-HR"/>
        </w:rPr>
        <w:t>Novskoj</w:t>
      </w:r>
      <w:proofErr w:type="spellEnd"/>
      <w:r w:rsidR="00BA147A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(bivši </w:t>
      </w:r>
      <w:proofErr w:type="spellStart"/>
      <w:r w:rsidR="00BA147A" w:rsidRPr="007B61ED">
        <w:rPr>
          <w:rFonts w:asciiTheme="minorHAnsi" w:hAnsiTheme="minorHAnsi" w:cstheme="minorHAnsi"/>
          <w:sz w:val="24"/>
          <w:szCs w:val="24"/>
          <w:lang w:val="hr-HR"/>
        </w:rPr>
        <w:t>Motoremont</w:t>
      </w:r>
      <w:proofErr w:type="spellEnd"/>
      <w:r w:rsidR="00BA147A" w:rsidRPr="007B61ED">
        <w:rPr>
          <w:rFonts w:asciiTheme="minorHAnsi" w:hAnsiTheme="minorHAnsi" w:cstheme="minorHAnsi"/>
          <w:sz w:val="24"/>
          <w:szCs w:val="24"/>
          <w:lang w:val="hr-HR"/>
        </w:rPr>
        <w:t>)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 za potre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be smještaja i rada novljanske R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azvojne agencije NORA.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Sredstva za financiranje ovog p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>rojekt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p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ovećavaju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u iznosu od 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160</w:t>
      </w:r>
      <w:r w:rsidR="00671C2F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671C2F" w:rsidRPr="007B61ED">
        <w:rPr>
          <w:rFonts w:asciiTheme="minorHAnsi" w:hAnsiTheme="minorHAnsi" w:cstheme="minorHAnsi"/>
          <w:sz w:val="24"/>
          <w:szCs w:val="24"/>
          <w:lang w:val="hr-HR"/>
        </w:rPr>
        <w:t>00</w:t>
      </w:r>
      <w:r w:rsidR="003B0BA0" w:rsidRPr="007B61ED">
        <w:rPr>
          <w:rFonts w:asciiTheme="minorHAnsi" w:hAnsiTheme="minorHAnsi" w:cstheme="minorHAnsi"/>
          <w:sz w:val="24"/>
          <w:szCs w:val="24"/>
          <w:lang w:val="hr-HR"/>
        </w:rPr>
        <w:t>,00 kn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za pripremne radove na objektu, te eventualne </w:t>
      </w:r>
      <w:proofErr w:type="spellStart"/>
      <w:r w:rsidR="0015763B">
        <w:rPr>
          <w:rFonts w:asciiTheme="minorHAnsi" w:hAnsiTheme="minorHAnsi" w:cstheme="minorHAnsi"/>
          <w:sz w:val="24"/>
          <w:szCs w:val="24"/>
          <w:lang w:val="hr-HR"/>
        </w:rPr>
        <w:t>vantroškovničke</w:t>
      </w:r>
      <w:proofErr w:type="spellEnd"/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radove</w:t>
      </w:r>
      <w:r w:rsidR="0038664B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15763B" w:rsidRPr="007B61ED" w:rsidRDefault="0015763B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79661C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79661C" w:rsidRPr="007B61ED">
        <w:rPr>
          <w:rFonts w:asciiTheme="minorHAnsi" w:hAnsiTheme="minorHAnsi" w:cstheme="minorHAnsi"/>
          <w:b/>
          <w:sz w:val="24"/>
          <w:szCs w:val="24"/>
          <w:lang w:val="hr-HR"/>
        </w:rPr>
        <w:t>.4. Program 1004 ODRŽAVANJE OBJEKATA I UREĐAJA KOMUNALNE INFRASTRUKTURE</w:t>
      </w:r>
    </w:p>
    <w:p w:rsidR="0079661C" w:rsidRPr="007B61ED" w:rsidRDefault="0079661C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03F94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103F94" w:rsidRPr="007B61ED">
        <w:rPr>
          <w:rFonts w:asciiTheme="minorHAnsi" w:hAnsiTheme="minorHAnsi" w:cstheme="minorHAnsi"/>
          <w:b/>
          <w:sz w:val="24"/>
          <w:szCs w:val="24"/>
          <w:lang w:val="hr-HR"/>
        </w:rPr>
        <w:t>.4.1. Aktivnost 1004 A100001 Održavanje javnih površina</w:t>
      </w:r>
    </w:p>
    <w:p w:rsidR="00103F94" w:rsidRPr="007B61ED" w:rsidRDefault="00103F94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03F94" w:rsidRPr="0015763B" w:rsidRDefault="00103F94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>Sredstva za financiranje ove aktivnosti povećavaju se za 1.000.000,00 kn, te sada iznose 3.200.000,00 kn.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Do povećanja dolazi uslijed povećanog opsega radova na održavanju javnih površina, te usklađenja prema dosadašnjoj realizaciji.</w:t>
      </w:r>
    </w:p>
    <w:p w:rsidR="00103F94" w:rsidRPr="007B61ED" w:rsidRDefault="00103F94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823C02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823C02" w:rsidRPr="007B61ED">
        <w:rPr>
          <w:rFonts w:asciiTheme="minorHAnsi" w:hAnsiTheme="minorHAnsi" w:cstheme="minorHAnsi"/>
          <w:b/>
          <w:sz w:val="24"/>
          <w:szCs w:val="24"/>
          <w:lang w:val="hr-HR"/>
        </w:rPr>
        <w:t>.4.</w:t>
      </w:r>
      <w:r w:rsidR="0015763B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823C02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Aktivnost 1004 A100002 Održavanje nerazvrstanih cesta</w:t>
      </w:r>
    </w:p>
    <w:p w:rsidR="00823C02" w:rsidRPr="007B61ED" w:rsidRDefault="00823C02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A346E9" w:rsidRDefault="003A1728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ove aktivnosti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povećavaju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150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.000,00 kn, te sada iznose 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>1.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280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.000,00 kn.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993C5D" w:rsidRPr="007B61ED">
        <w:rPr>
          <w:rFonts w:asciiTheme="minorHAnsi" w:hAnsiTheme="minorHAnsi" w:cstheme="minorHAnsi"/>
          <w:sz w:val="24"/>
          <w:szCs w:val="24"/>
          <w:lang w:val="hr-HR"/>
        </w:rPr>
        <w:t>Kroz ovu aktivnost se održavaju n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erazvrstane ceste i poljski puto</w:t>
      </w:r>
      <w:r w:rsidR="00993C5D" w:rsidRPr="007B61ED">
        <w:rPr>
          <w:rFonts w:asciiTheme="minorHAnsi" w:hAnsiTheme="minorHAnsi" w:cstheme="minorHAnsi"/>
          <w:sz w:val="24"/>
          <w:szCs w:val="24"/>
          <w:lang w:val="hr-HR"/>
        </w:rPr>
        <w:t>vi. Procjena je da su ova sredstva dostatna za održavanje ner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azvrstanih cesta i poljskih puto</w:t>
      </w:r>
      <w:r w:rsidR="00993C5D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va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u narednom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razdoblju.</w:t>
      </w:r>
    </w:p>
    <w:p w:rsidR="00A346E9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lastRenderedPageBreak/>
        <w:t>3</w:t>
      </w:r>
      <w:r w:rsidR="00A346E9" w:rsidRPr="007B61ED">
        <w:rPr>
          <w:rFonts w:asciiTheme="minorHAnsi" w:hAnsiTheme="minorHAnsi" w:cstheme="minorHAnsi"/>
          <w:b/>
          <w:sz w:val="24"/>
          <w:szCs w:val="24"/>
          <w:lang w:val="hr-HR"/>
        </w:rPr>
        <w:t>.5. Program 1005 PROJEKTIRANJE I GRAĐENJE OBJEKATA I UREĐAJA KOMUNALNE INFRASTRUKTURE</w:t>
      </w:r>
    </w:p>
    <w:p w:rsidR="00A346E9" w:rsidRPr="007B61ED" w:rsidRDefault="00A346E9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F0899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5F0899" w:rsidRPr="007B61ED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993C5D" w:rsidRPr="007B61ED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5F0899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K100006 Projektiranja komunalne infrastrukture</w:t>
      </w:r>
    </w:p>
    <w:p w:rsidR="005F0899" w:rsidRPr="007B61ED" w:rsidRDefault="005F0899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A56D11" w:rsidRPr="007B61ED" w:rsidRDefault="00A56D11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137</w:t>
      </w:r>
      <w:r w:rsidR="00993C5D" w:rsidRPr="007B61ED">
        <w:rPr>
          <w:rFonts w:asciiTheme="minorHAnsi" w:hAnsiTheme="minorHAnsi" w:cstheme="minorHAnsi"/>
          <w:sz w:val="24"/>
          <w:szCs w:val="24"/>
          <w:lang w:val="hr-HR"/>
        </w:rPr>
        <w:t>.500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,00 kn, te sada iznose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165.000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,00 kn.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>Smanjen</w:t>
      </w:r>
      <w:r w:rsidR="009E2641" w:rsidRPr="007B61ED">
        <w:rPr>
          <w:rFonts w:asciiTheme="minorHAnsi" w:hAnsiTheme="minorHAnsi" w:cstheme="minorHAnsi"/>
          <w:sz w:val="24"/>
          <w:szCs w:val="24"/>
          <w:lang w:val="hr-HR"/>
        </w:rPr>
        <w:t>a je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pozicij</w:t>
      </w:r>
      <w:r w:rsidR="009E2641" w:rsidRPr="007B61ED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rashoda za 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5763B">
        <w:rPr>
          <w:rFonts w:asciiTheme="minorHAnsi" w:hAnsiTheme="minorHAnsi" w:cstheme="minorHAnsi"/>
          <w:i/>
          <w:sz w:val="24"/>
          <w:szCs w:val="24"/>
          <w:lang w:val="hr-HR"/>
        </w:rPr>
        <w:t>izradu</w:t>
      </w:r>
      <w:r w:rsidR="005B364B" w:rsidRPr="007B61ED">
        <w:rPr>
          <w:rFonts w:asciiTheme="minorHAnsi" w:hAnsiTheme="minorHAnsi" w:cstheme="minorHAnsi"/>
          <w:i/>
          <w:sz w:val="24"/>
          <w:szCs w:val="24"/>
          <w:lang w:val="hr-HR"/>
        </w:rPr>
        <w:t xml:space="preserve"> ostalih projektnih dokumentacija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koja služi kao rezerva ukoliko se ukaže potreba za projektiranjem koje nije </w:t>
      </w:r>
      <w:r w:rsidR="00EB635C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bilo 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>planirano u proračunu</w:t>
      </w:r>
      <w:r w:rsidR="009E2641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, u iznosu od </w:t>
      </w:r>
      <w:r w:rsidR="00103F94" w:rsidRPr="007B61ED">
        <w:rPr>
          <w:rFonts w:asciiTheme="minorHAnsi" w:hAnsiTheme="minorHAnsi" w:cstheme="minorHAnsi"/>
          <w:sz w:val="24"/>
          <w:szCs w:val="24"/>
          <w:lang w:val="hr-HR"/>
        </w:rPr>
        <w:t>12</w:t>
      </w:r>
      <w:r w:rsidR="009E2641" w:rsidRPr="007B61ED">
        <w:rPr>
          <w:rFonts w:asciiTheme="minorHAnsi" w:hAnsiTheme="minorHAnsi" w:cstheme="minorHAnsi"/>
          <w:sz w:val="24"/>
          <w:szCs w:val="24"/>
          <w:lang w:val="hr-HR"/>
        </w:rPr>
        <w:t>.500,00 kn</w:t>
      </w:r>
      <w:r w:rsidR="005B364B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Također, b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risana je pozicija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rashoda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93628" w:rsidRPr="007B61ED">
        <w:rPr>
          <w:rFonts w:asciiTheme="minorHAnsi" w:hAnsiTheme="minorHAnsi" w:cstheme="minorHAnsi"/>
          <w:i/>
          <w:sz w:val="24"/>
          <w:szCs w:val="24"/>
          <w:lang w:val="hr-HR"/>
        </w:rPr>
        <w:t xml:space="preserve">Projekt spojne ceste Zagrebačka </w:t>
      </w:r>
      <w:r w:rsidR="0015763B">
        <w:rPr>
          <w:rFonts w:asciiTheme="minorHAnsi" w:hAnsiTheme="minorHAnsi" w:cstheme="minorHAnsi"/>
          <w:i/>
          <w:sz w:val="24"/>
          <w:szCs w:val="24"/>
          <w:lang w:val="hr-HR"/>
        </w:rPr>
        <w:t>-</w:t>
      </w:r>
      <w:r w:rsidR="00093628" w:rsidRPr="007B61ED">
        <w:rPr>
          <w:rFonts w:asciiTheme="minorHAnsi" w:hAnsiTheme="minorHAnsi" w:cstheme="minorHAnsi"/>
          <w:i/>
          <w:sz w:val="24"/>
          <w:szCs w:val="24"/>
          <w:lang w:val="hr-HR"/>
        </w:rPr>
        <w:t>Mihanovićeva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, jer u ovom trenutku nema sredstava za realizaciju iste.</w:t>
      </w:r>
    </w:p>
    <w:p w:rsidR="00093628" w:rsidRPr="007B61ED" w:rsidRDefault="00093628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A630D0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A630D0" w:rsidRPr="007B61ED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9E2641" w:rsidRPr="007B61ED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A630D0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K10001</w:t>
      </w:r>
      <w:r w:rsidR="009E2641" w:rsidRPr="007B61E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A630D0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9E2641" w:rsidRPr="007B61ED">
        <w:rPr>
          <w:rFonts w:asciiTheme="minorHAnsi" w:hAnsiTheme="minorHAnsi" w:cstheme="minorHAnsi"/>
          <w:b/>
          <w:sz w:val="24"/>
          <w:szCs w:val="24"/>
          <w:lang w:val="hr-HR"/>
        </w:rPr>
        <w:t>Proširenje javne rasvjete</w:t>
      </w:r>
    </w:p>
    <w:p w:rsidR="00A630D0" w:rsidRPr="007B61ED" w:rsidRDefault="00A630D0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A630D0" w:rsidRDefault="003B1445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100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.000,00 kn, te sada iznose </w:t>
      </w:r>
      <w:r w:rsidR="009E2641" w:rsidRPr="007B61ED">
        <w:rPr>
          <w:rFonts w:asciiTheme="minorHAnsi" w:hAnsiTheme="minorHAnsi" w:cstheme="minorHAnsi"/>
          <w:sz w:val="24"/>
          <w:szCs w:val="24"/>
          <w:lang w:val="hr-HR"/>
        </w:rPr>
        <w:t>48</w:t>
      </w:r>
      <w:r w:rsidR="006C0749" w:rsidRPr="007B61ED">
        <w:rPr>
          <w:rFonts w:asciiTheme="minorHAnsi" w:hAnsiTheme="minorHAnsi" w:cstheme="minorHAnsi"/>
          <w:sz w:val="24"/>
          <w:szCs w:val="24"/>
          <w:lang w:val="hr-HR"/>
        </w:rPr>
        <w:t>.000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,00 kn.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Do smanjenja je došlo uslijed ukidanja pozicije </w:t>
      </w:r>
      <w:r w:rsidR="00093628" w:rsidRPr="007B61ED">
        <w:rPr>
          <w:rFonts w:asciiTheme="minorHAnsi" w:hAnsiTheme="minorHAnsi" w:cstheme="minorHAnsi"/>
          <w:i/>
          <w:sz w:val="24"/>
          <w:szCs w:val="24"/>
          <w:lang w:val="hr-HR"/>
        </w:rPr>
        <w:t>Nabava LED rasvjete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, jer u ovom trenutku nema sredstava za nabavu iste.</w:t>
      </w:r>
    </w:p>
    <w:p w:rsidR="009E0193" w:rsidRPr="007B61ED" w:rsidRDefault="009E0193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E0193" w:rsidRPr="007B61ED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A562F4" w:rsidRPr="007B61ED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E0193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K100014 Mrtvačnica u Voćarici</w:t>
      </w:r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9E2641" w:rsidRPr="0015763B" w:rsidRDefault="009E2641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povećavaju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.000,00 kn, te sada iznose 70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.000,00 kn.</w:t>
      </w:r>
      <w:r w:rsidR="0015763B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Ovo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povećanje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se odnosi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na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trošak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geodetskog </w:t>
      </w:r>
      <w:proofErr w:type="spellStart"/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iskolčenja</w:t>
      </w:r>
      <w:proofErr w:type="spellEnd"/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objekta mrtvačnice kod početka gradnje, te na geodetsku snimku nakon što mrtvačnica bude izgrađena. Radovi na gradnji su u tijeku i očekuje se završetak do kraja studenog 2019.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godine.</w:t>
      </w:r>
    </w:p>
    <w:p w:rsidR="00BC1CEB" w:rsidRPr="007B61ED" w:rsidRDefault="00BC1CEB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242187" w:rsidRPr="007B61ED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A562F4" w:rsidRPr="007B61ED">
        <w:rPr>
          <w:rFonts w:asciiTheme="minorHAnsi" w:hAnsiTheme="minorHAnsi" w:cstheme="minorHAnsi"/>
          <w:b/>
          <w:sz w:val="24"/>
          <w:szCs w:val="24"/>
          <w:lang w:val="hr-HR"/>
        </w:rPr>
        <w:t>4</w:t>
      </w:r>
      <w:r w:rsidR="00242187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K10001</w:t>
      </w:r>
      <w:r w:rsidR="00A562F4" w:rsidRPr="007B61ED">
        <w:rPr>
          <w:rFonts w:asciiTheme="minorHAnsi" w:hAnsiTheme="minorHAnsi" w:cstheme="minorHAnsi"/>
          <w:b/>
          <w:sz w:val="24"/>
          <w:szCs w:val="24"/>
          <w:lang w:val="hr-HR"/>
        </w:rPr>
        <w:t>5</w:t>
      </w:r>
      <w:r w:rsidR="00242187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A562F4" w:rsidRPr="007B61ED">
        <w:rPr>
          <w:rFonts w:asciiTheme="minorHAnsi" w:hAnsiTheme="minorHAnsi" w:cstheme="minorHAnsi"/>
          <w:b/>
          <w:sz w:val="24"/>
          <w:szCs w:val="24"/>
          <w:lang w:val="hr-HR"/>
        </w:rPr>
        <w:t>Poduzetnička zona Novska</w:t>
      </w:r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664AFE" w:rsidRDefault="00664AFE" w:rsidP="0015763B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smanjuju se za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400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.000,00 kn, te sada iznose </w:t>
      </w:r>
      <w:r w:rsidR="00A562F4" w:rsidRPr="007B61ED">
        <w:rPr>
          <w:rFonts w:asciiTheme="minorHAnsi" w:hAnsiTheme="minorHAnsi" w:cstheme="minorHAnsi"/>
          <w:sz w:val="24"/>
          <w:szCs w:val="24"/>
          <w:lang w:val="hr-HR"/>
        </w:rPr>
        <w:t>3.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A562F4" w:rsidRPr="007B61ED">
        <w:rPr>
          <w:rFonts w:asciiTheme="minorHAnsi" w:hAnsiTheme="minorHAnsi" w:cstheme="minorHAnsi"/>
          <w:sz w:val="24"/>
          <w:szCs w:val="24"/>
          <w:lang w:val="hr-HR"/>
        </w:rPr>
        <w:t>00.000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,00 kn.</w:t>
      </w:r>
      <w:r w:rsidR="0015763B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Smanjenje rashoda se odnosi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na </w:t>
      </w:r>
      <w:r w:rsidR="00A562F4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smanjenje troška izgradnje industrijskog kolosijeka za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A562F4" w:rsidRPr="007B61ED">
        <w:rPr>
          <w:rFonts w:asciiTheme="minorHAnsi" w:hAnsiTheme="minorHAnsi" w:cstheme="minorHAnsi"/>
          <w:sz w:val="24"/>
          <w:szCs w:val="24"/>
          <w:lang w:val="hr-HR"/>
        </w:rPr>
        <w:t>00.000,00 kn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A562F4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jer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procjenjuje da</w:t>
      </w:r>
      <w:r w:rsidR="00A562F4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u ovom 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nadolazećem </w:t>
      </w:r>
      <w:r w:rsidR="007465A4">
        <w:rPr>
          <w:rFonts w:asciiTheme="minorHAnsi" w:hAnsiTheme="minorHAnsi" w:cstheme="minorHAnsi"/>
          <w:sz w:val="24"/>
          <w:szCs w:val="24"/>
          <w:lang w:val="hr-HR"/>
        </w:rPr>
        <w:t>razdoblju</w:t>
      </w:r>
      <w:r w:rsidR="00093628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neće doći do realizacije ovog projekta.</w:t>
      </w:r>
    </w:p>
    <w:p w:rsidR="005B32E9" w:rsidRPr="007B61ED" w:rsidRDefault="005B32E9" w:rsidP="007B61ED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15763B">
        <w:rPr>
          <w:rFonts w:asciiTheme="minorHAnsi" w:hAnsiTheme="minorHAnsi" w:cstheme="minorHAnsi"/>
          <w:b/>
          <w:sz w:val="24"/>
          <w:szCs w:val="24"/>
          <w:lang w:val="hr-HR"/>
        </w:rPr>
        <w:t>.5.16</w:t>
      </w:r>
      <w:r w:rsidR="005B32E9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K10004</w:t>
      </w:r>
      <w:r w:rsidR="00872433" w:rsidRPr="007B61ED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5B32E9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872433" w:rsidRPr="007B61ED">
        <w:rPr>
          <w:rFonts w:asciiTheme="minorHAnsi" w:hAnsiTheme="minorHAnsi" w:cstheme="minorHAnsi"/>
          <w:b/>
          <w:sz w:val="24"/>
          <w:szCs w:val="24"/>
          <w:lang w:val="hr-HR"/>
        </w:rPr>
        <w:t>Punionica za električne automobile</w:t>
      </w:r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B32E9" w:rsidRPr="0015763B" w:rsidRDefault="005B32E9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Ovo je novootvoreni projekt. Sredstva za financiranje ovog projekta planiraju se u iznosu od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150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.000,00 kn za projektiranje i izgradnju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punionice za električne automobile, koja će biti postavljena na javnom parkiralištu kod gradske vijećnice.</w:t>
      </w:r>
    </w:p>
    <w:p w:rsidR="001F09C5" w:rsidRPr="007B61ED" w:rsidRDefault="001F09C5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F09C5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1F09C5" w:rsidRPr="007B61ED">
        <w:rPr>
          <w:rFonts w:asciiTheme="minorHAnsi" w:hAnsiTheme="minorHAnsi" w:cstheme="minorHAnsi"/>
          <w:b/>
          <w:sz w:val="24"/>
          <w:szCs w:val="24"/>
          <w:lang w:val="hr-HR"/>
        </w:rPr>
        <w:t>.6. Program 1006 ZAŠTITA OKOLIŠA</w:t>
      </w:r>
    </w:p>
    <w:p w:rsidR="001F09C5" w:rsidRPr="007B61ED" w:rsidRDefault="001F09C5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3C23BF" w:rsidRPr="007B61ED">
        <w:rPr>
          <w:rFonts w:asciiTheme="minorHAnsi" w:hAnsiTheme="minorHAnsi" w:cstheme="minorHAnsi"/>
          <w:b/>
          <w:sz w:val="24"/>
          <w:szCs w:val="24"/>
          <w:lang w:val="hr-HR"/>
        </w:rPr>
        <w:t>.6.</w:t>
      </w:r>
      <w:r w:rsidR="00A61563" w:rsidRPr="007B61ED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3C23BF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Kapitalni projekt 1006 K100001 Sanacija deponije </w:t>
      </w:r>
      <w:proofErr w:type="spellStart"/>
      <w:r w:rsidR="003C23BF" w:rsidRPr="007B61ED">
        <w:rPr>
          <w:rFonts w:asciiTheme="minorHAnsi" w:hAnsiTheme="minorHAnsi" w:cstheme="minorHAnsi"/>
          <w:b/>
          <w:sz w:val="24"/>
          <w:szCs w:val="24"/>
          <w:lang w:val="hr-HR"/>
        </w:rPr>
        <w:t>Kurjakana</w:t>
      </w:r>
      <w:proofErr w:type="spellEnd"/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09703B" w:rsidRDefault="0009703B" w:rsidP="0015763B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povećavaju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22.125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,00 kn, te sada iznose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28.735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,00 kn.</w:t>
      </w:r>
      <w:r w:rsidR="005211A5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Povećanje</w:t>
      </w:r>
      <w:r w:rsidR="003C724F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odnosi na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izradu projektne dokumentacije nužne kod izgradnje </w:t>
      </w:r>
      <w:proofErr w:type="spellStart"/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sortirnice</w:t>
      </w:r>
      <w:proofErr w:type="spellEnd"/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koju se planira izgraditi na lokaciji odlagališta komunalnog otpada </w:t>
      </w:r>
      <w:proofErr w:type="spellStart"/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Kurjakana</w:t>
      </w:r>
      <w:proofErr w:type="spellEnd"/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E640FE" w:rsidRDefault="00E640FE" w:rsidP="0015763B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E640FE" w:rsidRDefault="00E640FE" w:rsidP="0015763B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E640FE" w:rsidRPr="0015763B" w:rsidRDefault="00E640FE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lastRenderedPageBreak/>
        <w:t>3</w:t>
      </w:r>
      <w:r w:rsidR="005211A5" w:rsidRPr="007B61ED">
        <w:rPr>
          <w:rFonts w:asciiTheme="minorHAnsi" w:hAnsiTheme="minorHAnsi" w:cstheme="minorHAnsi"/>
          <w:b/>
          <w:sz w:val="24"/>
          <w:szCs w:val="24"/>
          <w:lang w:val="hr-HR"/>
        </w:rPr>
        <w:t xml:space="preserve">.6.2. Kapitalni projekt 1006 K100002 </w:t>
      </w:r>
      <w:r w:rsidR="00A64505" w:rsidRPr="007B61ED">
        <w:rPr>
          <w:rFonts w:asciiTheme="minorHAnsi" w:hAnsiTheme="minorHAnsi" w:cstheme="minorHAnsi"/>
          <w:b/>
          <w:sz w:val="24"/>
          <w:szCs w:val="24"/>
          <w:lang w:val="hr-HR"/>
        </w:rPr>
        <w:t>Nabava komunalne opreme</w:t>
      </w:r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3C23BF" w:rsidRPr="0015763B" w:rsidRDefault="005211A5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A64505" w:rsidRPr="007B61ED">
        <w:rPr>
          <w:rFonts w:asciiTheme="minorHAnsi" w:hAnsiTheme="minorHAnsi" w:cstheme="minorHAnsi"/>
          <w:sz w:val="24"/>
          <w:szCs w:val="24"/>
          <w:lang w:val="hr-HR"/>
        </w:rPr>
        <w:t>50.000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,00 kn, te sada iznose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560</w:t>
      </w:r>
      <w:r w:rsidR="00A64505" w:rsidRPr="007B61ED">
        <w:rPr>
          <w:rFonts w:asciiTheme="minorHAnsi" w:hAnsiTheme="minorHAnsi" w:cstheme="minorHAnsi"/>
          <w:sz w:val="24"/>
          <w:szCs w:val="24"/>
          <w:lang w:val="hr-HR"/>
        </w:rPr>
        <w:t>.000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,00 kn.</w:t>
      </w:r>
      <w:r w:rsidR="00A64505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S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manjenje se odnosi na ukidanje pozicije </w:t>
      </w:r>
      <w:r w:rsidR="00872433" w:rsidRPr="007B61ED">
        <w:rPr>
          <w:rFonts w:asciiTheme="minorHAnsi" w:hAnsiTheme="minorHAnsi" w:cstheme="minorHAnsi"/>
          <w:i/>
          <w:sz w:val="24"/>
          <w:szCs w:val="24"/>
          <w:lang w:val="hr-HR"/>
        </w:rPr>
        <w:t>Sanacija divljih deponija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, te prenamjenu ovih sredstava u održavanje nerazvrstanih cesta.</w:t>
      </w:r>
    </w:p>
    <w:p w:rsidR="00E658A0" w:rsidRPr="007B61ED" w:rsidRDefault="00E658A0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044EE" w:rsidRPr="007B61ED" w:rsidRDefault="007B61ED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044EE" w:rsidRPr="007B61E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872433" w:rsidRPr="007B61ED">
        <w:rPr>
          <w:rFonts w:asciiTheme="minorHAnsi" w:hAnsiTheme="minorHAnsi" w:cstheme="minorHAnsi"/>
          <w:b/>
          <w:sz w:val="24"/>
          <w:szCs w:val="24"/>
          <w:lang w:val="hr-HR"/>
        </w:rPr>
        <w:t>7</w:t>
      </w:r>
      <w:r w:rsidR="009044EE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PROGRAM 1010 GOSPODARSTVO</w:t>
      </w:r>
    </w:p>
    <w:p w:rsidR="005835C6" w:rsidRPr="007B61ED" w:rsidRDefault="005835C6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5763B" w:rsidRDefault="007B61ED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15763B">
        <w:rPr>
          <w:rFonts w:asciiTheme="minorHAnsi" w:hAnsiTheme="minorHAnsi" w:cstheme="minorHAnsi"/>
          <w:b/>
          <w:sz w:val="24"/>
          <w:szCs w:val="24"/>
          <w:lang w:val="hr-HR"/>
        </w:rPr>
        <w:t>.7</w:t>
      </w:r>
      <w:r w:rsidR="00EE5282" w:rsidRPr="007B61ED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872433" w:rsidRPr="007B61ED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EE5282" w:rsidRPr="007B61ED">
        <w:rPr>
          <w:rFonts w:asciiTheme="minorHAnsi" w:hAnsiTheme="minorHAnsi" w:cstheme="minorHAnsi"/>
          <w:b/>
          <w:sz w:val="24"/>
          <w:szCs w:val="24"/>
          <w:lang w:val="hr-HR"/>
        </w:rPr>
        <w:t>. Tekući projekt 1010 T100002 Razvoj malog gospodarstva</w:t>
      </w:r>
    </w:p>
    <w:p w:rsidR="0015763B" w:rsidRDefault="0015763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B81AD0" w:rsidRPr="0015763B" w:rsidRDefault="003E08FB" w:rsidP="0015763B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>smanjuju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125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72433" w:rsidRPr="007B61ED">
        <w:rPr>
          <w:rFonts w:asciiTheme="minorHAnsi" w:hAnsiTheme="minorHAnsi" w:cstheme="minorHAnsi"/>
          <w:sz w:val="24"/>
          <w:szCs w:val="24"/>
          <w:lang w:val="hr-HR"/>
        </w:rPr>
        <w:t>0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>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,00 kn, te sada iznose 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2.452.500</w:t>
      </w:r>
      <w:r w:rsidRPr="007B61ED">
        <w:rPr>
          <w:rFonts w:asciiTheme="minorHAnsi" w:hAnsiTheme="minorHAnsi" w:cstheme="minorHAnsi"/>
          <w:sz w:val="24"/>
          <w:szCs w:val="24"/>
          <w:lang w:val="hr-HR"/>
        </w:rPr>
        <w:t>,00 kn.</w:t>
      </w:r>
      <w:r w:rsidR="005835C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>Smanjenje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rashoda planirano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je na poziciji </w:t>
      </w:r>
      <w:r w:rsidR="0015763B">
        <w:rPr>
          <w:rFonts w:asciiTheme="minorHAnsi" w:hAnsiTheme="minorHAnsi" w:cstheme="minorHAnsi"/>
          <w:i/>
          <w:sz w:val="24"/>
          <w:szCs w:val="24"/>
          <w:lang w:val="hr-HR"/>
        </w:rPr>
        <w:t>S</w:t>
      </w:r>
      <w:r w:rsidR="00E36449" w:rsidRPr="007B61ED">
        <w:rPr>
          <w:rFonts w:asciiTheme="minorHAnsi" w:hAnsiTheme="minorHAnsi" w:cstheme="minorHAnsi"/>
          <w:i/>
          <w:sz w:val="24"/>
          <w:szCs w:val="24"/>
          <w:lang w:val="hr-HR"/>
        </w:rPr>
        <w:t xml:space="preserve">ufinanciranje </w:t>
      </w:r>
      <w:r w:rsidR="007D22C6" w:rsidRPr="007B61ED">
        <w:rPr>
          <w:rFonts w:asciiTheme="minorHAnsi" w:hAnsiTheme="minorHAnsi" w:cstheme="minorHAnsi"/>
          <w:i/>
          <w:sz w:val="24"/>
          <w:szCs w:val="24"/>
          <w:lang w:val="hr-HR"/>
        </w:rPr>
        <w:t>u poljoprivredi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za iznos od 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00.000,00 kn, te ova pozicija sad iznosi 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>00.000,00 kn.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 Istovremeno,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ovećanje je </w:t>
      </w:r>
      <w:r w:rsidR="0015763B">
        <w:rPr>
          <w:rFonts w:asciiTheme="minorHAnsi" w:hAnsiTheme="minorHAnsi" w:cstheme="minorHAnsi"/>
          <w:sz w:val="24"/>
          <w:szCs w:val="24"/>
          <w:lang w:val="hr-HR"/>
        </w:rPr>
        <w:t xml:space="preserve">iskazano 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na poziciji</w:t>
      </w:r>
      <w:r w:rsidR="00E36449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D22C6" w:rsidRPr="007B61ED">
        <w:rPr>
          <w:rFonts w:asciiTheme="minorHAnsi" w:hAnsiTheme="minorHAnsi" w:cstheme="minorHAnsi"/>
          <w:i/>
          <w:sz w:val="24"/>
          <w:szCs w:val="24"/>
          <w:lang w:val="hr-HR"/>
        </w:rPr>
        <w:t>Sufinanciranje poduzetnika početnika</w:t>
      </w:r>
      <w:r w:rsidR="00C87843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u iznosu od 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75</w:t>
      </w:r>
      <w:r w:rsidR="00C87843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0</w:t>
      </w:r>
      <w:r w:rsidR="00C87843" w:rsidRPr="007B61ED">
        <w:rPr>
          <w:rFonts w:asciiTheme="minorHAnsi" w:hAnsiTheme="minorHAnsi" w:cstheme="minorHAnsi"/>
          <w:sz w:val="24"/>
          <w:szCs w:val="24"/>
          <w:lang w:val="hr-HR"/>
        </w:rPr>
        <w:t>00,00 kn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, te ova pozicija </w:t>
      </w:r>
      <w:proofErr w:type="spellStart"/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sad</w:t>
      </w:r>
      <w:r w:rsidR="009811C2">
        <w:rPr>
          <w:rFonts w:asciiTheme="minorHAnsi" w:hAnsiTheme="minorHAnsi" w:cstheme="minorHAnsi"/>
          <w:sz w:val="24"/>
          <w:szCs w:val="24"/>
          <w:lang w:val="hr-HR"/>
        </w:rPr>
        <w:t>s</w:t>
      </w:r>
      <w:proofErr w:type="spellEnd"/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 iznosi 875.000,00 kn</w:t>
      </w:r>
      <w:r w:rsidR="00C87843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 xml:space="preserve">Do ove promjene je došlo uslijed velikog interesa za program </w:t>
      </w:r>
      <w:r w:rsidR="007D22C6" w:rsidRPr="007B61ED">
        <w:rPr>
          <w:rFonts w:asciiTheme="minorHAnsi" w:hAnsiTheme="minorHAnsi" w:cstheme="minorHAnsi"/>
          <w:i/>
          <w:sz w:val="24"/>
          <w:szCs w:val="24"/>
          <w:lang w:val="hr-HR"/>
        </w:rPr>
        <w:t>Sufinanciranje poduzetnika početnika</w:t>
      </w:r>
      <w:r w:rsidR="007D22C6" w:rsidRPr="007B61ED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3E08FB" w:rsidRPr="007B61ED" w:rsidRDefault="003E08FB" w:rsidP="007B61ED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C23653" w:rsidRPr="007B61ED" w:rsidRDefault="00C23653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97614" w:rsidRPr="007B61ED" w:rsidRDefault="00697614" w:rsidP="007B61ED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sectPr w:rsidR="00697614" w:rsidRPr="007B61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E1" w:rsidRDefault="004D7CE1" w:rsidP="004D7CE1">
      <w:r>
        <w:separator/>
      </w:r>
    </w:p>
  </w:endnote>
  <w:endnote w:type="continuationSeparator" w:id="0">
    <w:p w:rsidR="004D7CE1" w:rsidRDefault="004D7CE1" w:rsidP="004D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07774"/>
      <w:docPartObj>
        <w:docPartGallery w:val="Page Numbers (Bottom of Page)"/>
        <w:docPartUnique/>
      </w:docPartObj>
    </w:sdtPr>
    <w:sdtEndPr/>
    <w:sdtContent>
      <w:p w:rsidR="004D7CE1" w:rsidRDefault="004D7C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3B" w:rsidRPr="0001463B">
          <w:rPr>
            <w:noProof/>
            <w:lang w:val="hr-HR"/>
          </w:rPr>
          <w:t>7</w:t>
        </w:r>
        <w:r>
          <w:fldChar w:fldCharType="end"/>
        </w:r>
      </w:p>
    </w:sdtContent>
  </w:sdt>
  <w:p w:rsidR="004D7CE1" w:rsidRDefault="004D7C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E1" w:rsidRDefault="004D7CE1" w:rsidP="004D7CE1">
      <w:r>
        <w:separator/>
      </w:r>
    </w:p>
  </w:footnote>
  <w:footnote w:type="continuationSeparator" w:id="0">
    <w:p w:rsidR="004D7CE1" w:rsidRDefault="004D7CE1" w:rsidP="004D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690"/>
    <w:multiLevelType w:val="hybridMultilevel"/>
    <w:tmpl w:val="6BC866B2"/>
    <w:lvl w:ilvl="0" w:tplc="DAC2E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175"/>
    <w:multiLevelType w:val="multilevel"/>
    <w:tmpl w:val="FBBCF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AA6787"/>
    <w:multiLevelType w:val="hybridMultilevel"/>
    <w:tmpl w:val="3E42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81A"/>
    <w:multiLevelType w:val="hybridMultilevel"/>
    <w:tmpl w:val="3EDA9F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0DD8"/>
    <w:multiLevelType w:val="hybridMultilevel"/>
    <w:tmpl w:val="044E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9D3"/>
    <w:multiLevelType w:val="hybridMultilevel"/>
    <w:tmpl w:val="C922C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244D7"/>
    <w:multiLevelType w:val="hybridMultilevel"/>
    <w:tmpl w:val="B740B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5295"/>
    <w:multiLevelType w:val="hybridMultilevel"/>
    <w:tmpl w:val="041AC4E4"/>
    <w:lvl w:ilvl="0" w:tplc="4298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2B96"/>
    <w:multiLevelType w:val="hybridMultilevel"/>
    <w:tmpl w:val="95F211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2245"/>
    <w:multiLevelType w:val="hybridMultilevel"/>
    <w:tmpl w:val="E64213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486E"/>
    <w:multiLevelType w:val="hybridMultilevel"/>
    <w:tmpl w:val="B692B0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1DE9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9F5"/>
    <w:multiLevelType w:val="hybridMultilevel"/>
    <w:tmpl w:val="3588E8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A14AC"/>
    <w:multiLevelType w:val="hybridMultilevel"/>
    <w:tmpl w:val="C388F216"/>
    <w:lvl w:ilvl="0" w:tplc="EEF00D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87AE9"/>
    <w:multiLevelType w:val="hybridMultilevel"/>
    <w:tmpl w:val="BF1E9392"/>
    <w:lvl w:ilvl="0" w:tplc="0C240C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91E9E"/>
    <w:multiLevelType w:val="hybridMultilevel"/>
    <w:tmpl w:val="372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C3DD7"/>
    <w:multiLevelType w:val="hybridMultilevel"/>
    <w:tmpl w:val="26723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03496"/>
    <w:multiLevelType w:val="hybridMultilevel"/>
    <w:tmpl w:val="2E98F0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A4C27"/>
    <w:multiLevelType w:val="hybridMultilevel"/>
    <w:tmpl w:val="C9684D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91E66"/>
    <w:multiLevelType w:val="hybridMultilevel"/>
    <w:tmpl w:val="E3803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31E1E"/>
    <w:multiLevelType w:val="hybridMultilevel"/>
    <w:tmpl w:val="2B9C5E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A2E48"/>
    <w:multiLevelType w:val="multilevel"/>
    <w:tmpl w:val="23A283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AA54E8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54BE"/>
    <w:multiLevelType w:val="hybridMultilevel"/>
    <w:tmpl w:val="642457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D5A17"/>
    <w:multiLevelType w:val="hybridMultilevel"/>
    <w:tmpl w:val="FA4007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654FFA"/>
    <w:multiLevelType w:val="hybridMultilevel"/>
    <w:tmpl w:val="68527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86BFA"/>
    <w:multiLevelType w:val="hybridMultilevel"/>
    <w:tmpl w:val="CEF04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E7164"/>
    <w:multiLevelType w:val="hybridMultilevel"/>
    <w:tmpl w:val="BC9E9A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888"/>
    <w:multiLevelType w:val="multilevel"/>
    <w:tmpl w:val="927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4E9579E"/>
    <w:multiLevelType w:val="hybridMultilevel"/>
    <w:tmpl w:val="252A4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20F60"/>
    <w:multiLevelType w:val="hybridMultilevel"/>
    <w:tmpl w:val="293AF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2472A"/>
    <w:multiLevelType w:val="hybridMultilevel"/>
    <w:tmpl w:val="33BC047C"/>
    <w:lvl w:ilvl="0" w:tplc="C654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9201D"/>
    <w:multiLevelType w:val="hybridMultilevel"/>
    <w:tmpl w:val="F45637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D69DE"/>
    <w:multiLevelType w:val="multilevel"/>
    <w:tmpl w:val="78E2F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B2D37DE"/>
    <w:multiLevelType w:val="hybridMultilevel"/>
    <w:tmpl w:val="5F001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5"/>
  </w:num>
  <w:num w:numId="5">
    <w:abstractNumId w:val="19"/>
  </w:num>
  <w:num w:numId="6">
    <w:abstractNumId w:val="31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4"/>
  </w:num>
  <w:num w:numId="13">
    <w:abstractNumId w:val="27"/>
  </w:num>
  <w:num w:numId="14">
    <w:abstractNumId w:val="26"/>
  </w:num>
  <w:num w:numId="15">
    <w:abstractNumId w:val="6"/>
  </w:num>
  <w:num w:numId="16">
    <w:abstractNumId w:val="29"/>
  </w:num>
  <w:num w:numId="17">
    <w:abstractNumId w:val="21"/>
  </w:num>
  <w:num w:numId="18">
    <w:abstractNumId w:val="16"/>
  </w:num>
  <w:num w:numId="19">
    <w:abstractNumId w:val="3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0"/>
  </w:num>
  <w:num w:numId="23">
    <w:abstractNumId w:val="23"/>
  </w:num>
  <w:num w:numId="24">
    <w:abstractNumId w:val="9"/>
  </w:num>
  <w:num w:numId="25">
    <w:abstractNumId w:val="17"/>
  </w:num>
  <w:num w:numId="26">
    <w:abstractNumId w:val="24"/>
  </w:num>
  <w:num w:numId="27">
    <w:abstractNumId w:val="5"/>
  </w:num>
  <w:num w:numId="28">
    <w:abstractNumId w:val="12"/>
  </w:num>
  <w:num w:numId="29">
    <w:abstractNumId w:val="20"/>
  </w:num>
  <w:num w:numId="30">
    <w:abstractNumId w:val="10"/>
  </w:num>
  <w:num w:numId="31">
    <w:abstractNumId w:val="3"/>
  </w:num>
  <w:num w:numId="32">
    <w:abstractNumId w:val="18"/>
  </w:num>
  <w:num w:numId="33">
    <w:abstractNumId w:val="33"/>
  </w:num>
  <w:num w:numId="34">
    <w:abstractNumId w:val="28"/>
  </w:num>
  <w:num w:numId="35">
    <w:abstractNumId w:val="1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6"/>
    <w:rsid w:val="00002CC3"/>
    <w:rsid w:val="00006185"/>
    <w:rsid w:val="0000778D"/>
    <w:rsid w:val="0001104A"/>
    <w:rsid w:val="0001463B"/>
    <w:rsid w:val="00023378"/>
    <w:rsid w:val="0004080C"/>
    <w:rsid w:val="000415DC"/>
    <w:rsid w:val="00046DC0"/>
    <w:rsid w:val="00057D73"/>
    <w:rsid w:val="00067049"/>
    <w:rsid w:val="0006716B"/>
    <w:rsid w:val="00074035"/>
    <w:rsid w:val="00076CF2"/>
    <w:rsid w:val="000813B0"/>
    <w:rsid w:val="00093628"/>
    <w:rsid w:val="0009703B"/>
    <w:rsid w:val="000A387A"/>
    <w:rsid w:val="000A6BC4"/>
    <w:rsid w:val="000B055F"/>
    <w:rsid w:val="000B5AA0"/>
    <w:rsid w:val="000C0124"/>
    <w:rsid w:val="000C18EC"/>
    <w:rsid w:val="000D4E6A"/>
    <w:rsid w:val="00101DCC"/>
    <w:rsid w:val="00103F94"/>
    <w:rsid w:val="00107FBA"/>
    <w:rsid w:val="001359C1"/>
    <w:rsid w:val="00137010"/>
    <w:rsid w:val="00144375"/>
    <w:rsid w:val="00147B25"/>
    <w:rsid w:val="00150DF7"/>
    <w:rsid w:val="00155C65"/>
    <w:rsid w:val="0015763B"/>
    <w:rsid w:val="00157B32"/>
    <w:rsid w:val="00170A15"/>
    <w:rsid w:val="001755B4"/>
    <w:rsid w:val="001871BA"/>
    <w:rsid w:val="00190F84"/>
    <w:rsid w:val="001951CC"/>
    <w:rsid w:val="001A71E5"/>
    <w:rsid w:val="001D050A"/>
    <w:rsid w:val="001D6B82"/>
    <w:rsid w:val="001E17BF"/>
    <w:rsid w:val="001E5AB6"/>
    <w:rsid w:val="001E7339"/>
    <w:rsid w:val="001F09C5"/>
    <w:rsid w:val="001F1779"/>
    <w:rsid w:val="002041A8"/>
    <w:rsid w:val="00204A4E"/>
    <w:rsid w:val="0021705A"/>
    <w:rsid w:val="00242187"/>
    <w:rsid w:val="00245E65"/>
    <w:rsid w:val="00246B3D"/>
    <w:rsid w:val="0025638D"/>
    <w:rsid w:val="00260D88"/>
    <w:rsid w:val="00260E86"/>
    <w:rsid w:val="0026276D"/>
    <w:rsid w:val="00262E4C"/>
    <w:rsid w:val="002735B8"/>
    <w:rsid w:val="00276C5F"/>
    <w:rsid w:val="002820E8"/>
    <w:rsid w:val="00292ADF"/>
    <w:rsid w:val="002A00DF"/>
    <w:rsid w:val="002B5E16"/>
    <w:rsid w:val="002B72DB"/>
    <w:rsid w:val="002C2178"/>
    <w:rsid w:val="002C3F50"/>
    <w:rsid w:val="002D458D"/>
    <w:rsid w:val="002D4636"/>
    <w:rsid w:val="002D7E26"/>
    <w:rsid w:val="002E7806"/>
    <w:rsid w:val="002F0D85"/>
    <w:rsid w:val="002F3948"/>
    <w:rsid w:val="002F5055"/>
    <w:rsid w:val="0031506C"/>
    <w:rsid w:val="003176C5"/>
    <w:rsid w:val="003502D7"/>
    <w:rsid w:val="00357363"/>
    <w:rsid w:val="003619A7"/>
    <w:rsid w:val="003646E4"/>
    <w:rsid w:val="0036471D"/>
    <w:rsid w:val="00371906"/>
    <w:rsid w:val="00380FB1"/>
    <w:rsid w:val="0038664B"/>
    <w:rsid w:val="0038685B"/>
    <w:rsid w:val="003A1728"/>
    <w:rsid w:val="003A308B"/>
    <w:rsid w:val="003A3761"/>
    <w:rsid w:val="003B0BA0"/>
    <w:rsid w:val="003B1445"/>
    <w:rsid w:val="003B1DEB"/>
    <w:rsid w:val="003B2AA7"/>
    <w:rsid w:val="003B4B7D"/>
    <w:rsid w:val="003B6944"/>
    <w:rsid w:val="003C23BF"/>
    <w:rsid w:val="003C724F"/>
    <w:rsid w:val="003D366E"/>
    <w:rsid w:val="003D60DE"/>
    <w:rsid w:val="003E08FB"/>
    <w:rsid w:val="003E734F"/>
    <w:rsid w:val="003F3A32"/>
    <w:rsid w:val="003F43C1"/>
    <w:rsid w:val="003F6FF3"/>
    <w:rsid w:val="004159D7"/>
    <w:rsid w:val="004160E0"/>
    <w:rsid w:val="00425F82"/>
    <w:rsid w:val="00440925"/>
    <w:rsid w:val="004425D1"/>
    <w:rsid w:val="004518B6"/>
    <w:rsid w:val="00451FAC"/>
    <w:rsid w:val="00452368"/>
    <w:rsid w:val="00470588"/>
    <w:rsid w:val="004924E0"/>
    <w:rsid w:val="00493831"/>
    <w:rsid w:val="004970B9"/>
    <w:rsid w:val="004C08C3"/>
    <w:rsid w:val="004C76B6"/>
    <w:rsid w:val="004D06BD"/>
    <w:rsid w:val="004D7CE1"/>
    <w:rsid w:val="004E0E5E"/>
    <w:rsid w:val="004E2A04"/>
    <w:rsid w:val="004F221F"/>
    <w:rsid w:val="00500346"/>
    <w:rsid w:val="005060D7"/>
    <w:rsid w:val="005100C5"/>
    <w:rsid w:val="00514944"/>
    <w:rsid w:val="005211A5"/>
    <w:rsid w:val="005269BE"/>
    <w:rsid w:val="0054102C"/>
    <w:rsid w:val="005551B8"/>
    <w:rsid w:val="00561879"/>
    <w:rsid w:val="00562D80"/>
    <w:rsid w:val="005657AA"/>
    <w:rsid w:val="00576009"/>
    <w:rsid w:val="005835C6"/>
    <w:rsid w:val="0058559A"/>
    <w:rsid w:val="00586B59"/>
    <w:rsid w:val="00590F4B"/>
    <w:rsid w:val="00594327"/>
    <w:rsid w:val="00594F29"/>
    <w:rsid w:val="005A21FE"/>
    <w:rsid w:val="005A5D2A"/>
    <w:rsid w:val="005B32E9"/>
    <w:rsid w:val="005B364B"/>
    <w:rsid w:val="005B391A"/>
    <w:rsid w:val="005D21A1"/>
    <w:rsid w:val="005D4B5A"/>
    <w:rsid w:val="005E18DD"/>
    <w:rsid w:val="005E76BB"/>
    <w:rsid w:val="005F0899"/>
    <w:rsid w:val="005F2EBC"/>
    <w:rsid w:val="005F5C4A"/>
    <w:rsid w:val="006061F7"/>
    <w:rsid w:val="00620EFC"/>
    <w:rsid w:val="00622863"/>
    <w:rsid w:val="0062301B"/>
    <w:rsid w:val="0062309A"/>
    <w:rsid w:val="00631712"/>
    <w:rsid w:val="006356AD"/>
    <w:rsid w:val="006458BD"/>
    <w:rsid w:val="006522EF"/>
    <w:rsid w:val="006543BC"/>
    <w:rsid w:val="0065466E"/>
    <w:rsid w:val="00664AFE"/>
    <w:rsid w:val="00671C2F"/>
    <w:rsid w:val="00673D23"/>
    <w:rsid w:val="00685694"/>
    <w:rsid w:val="00686B94"/>
    <w:rsid w:val="00692426"/>
    <w:rsid w:val="00695AFB"/>
    <w:rsid w:val="00696F44"/>
    <w:rsid w:val="00697614"/>
    <w:rsid w:val="006A3A7F"/>
    <w:rsid w:val="006A4C4B"/>
    <w:rsid w:val="006B7B8C"/>
    <w:rsid w:val="006C0749"/>
    <w:rsid w:val="006C28D5"/>
    <w:rsid w:val="006C374F"/>
    <w:rsid w:val="006F0BEC"/>
    <w:rsid w:val="006F2349"/>
    <w:rsid w:val="00700602"/>
    <w:rsid w:val="00702F0B"/>
    <w:rsid w:val="007052E7"/>
    <w:rsid w:val="007055C7"/>
    <w:rsid w:val="0071003D"/>
    <w:rsid w:val="007272EE"/>
    <w:rsid w:val="00731CDB"/>
    <w:rsid w:val="007339F6"/>
    <w:rsid w:val="00735A58"/>
    <w:rsid w:val="007422E6"/>
    <w:rsid w:val="007465A4"/>
    <w:rsid w:val="00747A69"/>
    <w:rsid w:val="00757435"/>
    <w:rsid w:val="007623A0"/>
    <w:rsid w:val="0076608B"/>
    <w:rsid w:val="007715C3"/>
    <w:rsid w:val="00782CEF"/>
    <w:rsid w:val="00792EB3"/>
    <w:rsid w:val="0079661C"/>
    <w:rsid w:val="007A2343"/>
    <w:rsid w:val="007A3409"/>
    <w:rsid w:val="007B5D10"/>
    <w:rsid w:val="007B61ED"/>
    <w:rsid w:val="007C4312"/>
    <w:rsid w:val="007D22C6"/>
    <w:rsid w:val="007D5D17"/>
    <w:rsid w:val="007F0E97"/>
    <w:rsid w:val="007F2A68"/>
    <w:rsid w:val="00807336"/>
    <w:rsid w:val="00813F6D"/>
    <w:rsid w:val="00814822"/>
    <w:rsid w:val="0081539C"/>
    <w:rsid w:val="00823C02"/>
    <w:rsid w:val="00824ECA"/>
    <w:rsid w:val="008402FB"/>
    <w:rsid w:val="008459F9"/>
    <w:rsid w:val="00850225"/>
    <w:rsid w:val="00851AFF"/>
    <w:rsid w:val="00866C42"/>
    <w:rsid w:val="00872433"/>
    <w:rsid w:val="008778E4"/>
    <w:rsid w:val="00882FDB"/>
    <w:rsid w:val="00887A49"/>
    <w:rsid w:val="008B01EE"/>
    <w:rsid w:val="008B5DB9"/>
    <w:rsid w:val="008C0982"/>
    <w:rsid w:val="008C1ABA"/>
    <w:rsid w:val="008C571C"/>
    <w:rsid w:val="008D61FF"/>
    <w:rsid w:val="008D7AB4"/>
    <w:rsid w:val="008E71A2"/>
    <w:rsid w:val="008F5D00"/>
    <w:rsid w:val="009044EE"/>
    <w:rsid w:val="0090603C"/>
    <w:rsid w:val="009357B3"/>
    <w:rsid w:val="00940D09"/>
    <w:rsid w:val="00950A98"/>
    <w:rsid w:val="009527EE"/>
    <w:rsid w:val="00962E36"/>
    <w:rsid w:val="00963F62"/>
    <w:rsid w:val="00970D45"/>
    <w:rsid w:val="009727D8"/>
    <w:rsid w:val="009811C2"/>
    <w:rsid w:val="009873A6"/>
    <w:rsid w:val="00992140"/>
    <w:rsid w:val="00993C5D"/>
    <w:rsid w:val="00996DA1"/>
    <w:rsid w:val="009A4321"/>
    <w:rsid w:val="009B0672"/>
    <w:rsid w:val="009B12A9"/>
    <w:rsid w:val="009B28C4"/>
    <w:rsid w:val="009B6328"/>
    <w:rsid w:val="009C3DCF"/>
    <w:rsid w:val="009C7261"/>
    <w:rsid w:val="009C7817"/>
    <w:rsid w:val="009D08A2"/>
    <w:rsid w:val="009D39B4"/>
    <w:rsid w:val="009E0193"/>
    <w:rsid w:val="009E2641"/>
    <w:rsid w:val="009E2F44"/>
    <w:rsid w:val="009E4546"/>
    <w:rsid w:val="009E5B44"/>
    <w:rsid w:val="009E7EC6"/>
    <w:rsid w:val="009F2E53"/>
    <w:rsid w:val="009F5503"/>
    <w:rsid w:val="009F72B3"/>
    <w:rsid w:val="009F74BC"/>
    <w:rsid w:val="00A00449"/>
    <w:rsid w:val="00A04B18"/>
    <w:rsid w:val="00A05242"/>
    <w:rsid w:val="00A061C9"/>
    <w:rsid w:val="00A11E34"/>
    <w:rsid w:val="00A12A7C"/>
    <w:rsid w:val="00A20399"/>
    <w:rsid w:val="00A210A4"/>
    <w:rsid w:val="00A346E9"/>
    <w:rsid w:val="00A37C63"/>
    <w:rsid w:val="00A37ECC"/>
    <w:rsid w:val="00A43959"/>
    <w:rsid w:val="00A52F68"/>
    <w:rsid w:val="00A562F4"/>
    <w:rsid w:val="00A56D11"/>
    <w:rsid w:val="00A5707C"/>
    <w:rsid w:val="00A57803"/>
    <w:rsid w:val="00A61563"/>
    <w:rsid w:val="00A630D0"/>
    <w:rsid w:val="00A637C3"/>
    <w:rsid w:val="00A64505"/>
    <w:rsid w:val="00A670B2"/>
    <w:rsid w:val="00A72E56"/>
    <w:rsid w:val="00A92774"/>
    <w:rsid w:val="00AA3138"/>
    <w:rsid w:val="00AA4E07"/>
    <w:rsid w:val="00AB6CF0"/>
    <w:rsid w:val="00AC6159"/>
    <w:rsid w:val="00AD18B8"/>
    <w:rsid w:val="00AD431C"/>
    <w:rsid w:val="00AD4D05"/>
    <w:rsid w:val="00AD63CE"/>
    <w:rsid w:val="00AE4AEA"/>
    <w:rsid w:val="00B017F2"/>
    <w:rsid w:val="00B04DEF"/>
    <w:rsid w:val="00B227D3"/>
    <w:rsid w:val="00B27A72"/>
    <w:rsid w:val="00B43074"/>
    <w:rsid w:val="00B45872"/>
    <w:rsid w:val="00B50AC9"/>
    <w:rsid w:val="00B52A55"/>
    <w:rsid w:val="00B65EE3"/>
    <w:rsid w:val="00B72CCE"/>
    <w:rsid w:val="00B80A91"/>
    <w:rsid w:val="00B81AD0"/>
    <w:rsid w:val="00B86ABF"/>
    <w:rsid w:val="00B948A5"/>
    <w:rsid w:val="00BA147A"/>
    <w:rsid w:val="00BA3285"/>
    <w:rsid w:val="00BA6156"/>
    <w:rsid w:val="00BB6874"/>
    <w:rsid w:val="00BC1CEB"/>
    <w:rsid w:val="00BD116A"/>
    <w:rsid w:val="00BE0FE3"/>
    <w:rsid w:val="00BE4C9D"/>
    <w:rsid w:val="00BF061D"/>
    <w:rsid w:val="00C021A4"/>
    <w:rsid w:val="00C20297"/>
    <w:rsid w:val="00C23653"/>
    <w:rsid w:val="00C30CE8"/>
    <w:rsid w:val="00C377F1"/>
    <w:rsid w:val="00C37F9E"/>
    <w:rsid w:val="00C40692"/>
    <w:rsid w:val="00C45800"/>
    <w:rsid w:val="00C51536"/>
    <w:rsid w:val="00C60AE6"/>
    <w:rsid w:val="00C62A81"/>
    <w:rsid w:val="00C70276"/>
    <w:rsid w:val="00C733F6"/>
    <w:rsid w:val="00C87843"/>
    <w:rsid w:val="00C87E1C"/>
    <w:rsid w:val="00C96B26"/>
    <w:rsid w:val="00CA782E"/>
    <w:rsid w:val="00CA7AD9"/>
    <w:rsid w:val="00CB36E3"/>
    <w:rsid w:val="00CB4BFA"/>
    <w:rsid w:val="00CC135B"/>
    <w:rsid w:val="00CC2B7B"/>
    <w:rsid w:val="00CC33AE"/>
    <w:rsid w:val="00CE6695"/>
    <w:rsid w:val="00CF0286"/>
    <w:rsid w:val="00CF38A7"/>
    <w:rsid w:val="00D02EA7"/>
    <w:rsid w:val="00D03425"/>
    <w:rsid w:val="00D1490C"/>
    <w:rsid w:val="00D2649B"/>
    <w:rsid w:val="00D3163E"/>
    <w:rsid w:val="00D40505"/>
    <w:rsid w:val="00D40742"/>
    <w:rsid w:val="00D53639"/>
    <w:rsid w:val="00D63D16"/>
    <w:rsid w:val="00D63E99"/>
    <w:rsid w:val="00D6733F"/>
    <w:rsid w:val="00D7111C"/>
    <w:rsid w:val="00D77F22"/>
    <w:rsid w:val="00D92B40"/>
    <w:rsid w:val="00DA2E58"/>
    <w:rsid w:val="00DC3910"/>
    <w:rsid w:val="00DD3A22"/>
    <w:rsid w:val="00DE3E6C"/>
    <w:rsid w:val="00DE7601"/>
    <w:rsid w:val="00E05225"/>
    <w:rsid w:val="00E105DC"/>
    <w:rsid w:val="00E10963"/>
    <w:rsid w:val="00E12FC6"/>
    <w:rsid w:val="00E16567"/>
    <w:rsid w:val="00E36449"/>
    <w:rsid w:val="00E3715A"/>
    <w:rsid w:val="00E4241E"/>
    <w:rsid w:val="00E43E0B"/>
    <w:rsid w:val="00E53916"/>
    <w:rsid w:val="00E60F0C"/>
    <w:rsid w:val="00E618C8"/>
    <w:rsid w:val="00E640FE"/>
    <w:rsid w:val="00E658A0"/>
    <w:rsid w:val="00E670FC"/>
    <w:rsid w:val="00E77853"/>
    <w:rsid w:val="00E877ED"/>
    <w:rsid w:val="00E90022"/>
    <w:rsid w:val="00E9204C"/>
    <w:rsid w:val="00EA11E3"/>
    <w:rsid w:val="00EA77F6"/>
    <w:rsid w:val="00EB0157"/>
    <w:rsid w:val="00EB635C"/>
    <w:rsid w:val="00EC1BDE"/>
    <w:rsid w:val="00EE5282"/>
    <w:rsid w:val="00EF2E71"/>
    <w:rsid w:val="00F01315"/>
    <w:rsid w:val="00F03E15"/>
    <w:rsid w:val="00F0499A"/>
    <w:rsid w:val="00F37A6C"/>
    <w:rsid w:val="00F54F27"/>
    <w:rsid w:val="00F5518B"/>
    <w:rsid w:val="00F6405A"/>
    <w:rsid w:val="00F66787"/>
    <w:rsid w:val="00F67DD0"/>
    <w:rsid w:val="00F934DE"/>
    <w:rsid w:val="00FA5B7A"/>
    <w:rsid w:val="00FB043A"/>
    <w:rsid w:val="00FB1530"/>
    <w:rsid w:val="00FB5BA3"/>
    <w:rsid w:val="00FB638F"/>
    <w:rsid w:val="00FB6706"/>
    <w:rsid w:val="00FC5D06"/>
    <w:rsid w:val="00FC6CA6"/>
    <w:rsid w:val="00FD64E4"/>
    <w:rsid w:val="00FE7BEA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E047-53B0-420C-BBD9-B8D76ECC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2331</Words>
  <Characters>13289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 Vuković</cp:lastModifiedBy>
  <cp:revision>12</cp:revision>
  <cp:lastPrinted>2019-05-23T17:54:00Z</cp:lastPrinted>
  <dcterms:created xsi:type="dcterms:W3CDTF">2019-05-23T12:53:00Z</dcterms:created>
  <dcterms:modified xsi:type="dcterms:W3CDTF">2019-05-23T18:03:00Z</dcterms:modified>
</cp:coreProperties>
</file>