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A92D75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 xml:space="preserve">Odluka o </w:t>
            </w:r>
            <w:r w:rsidR="00571596" w:rsidRPr="00D66880">
              <w:rPr>
                <w:b/>
                <w:color w:val="FFFFFF" w:themeColor="background1"/>
              </w:rPr>
              <w:t xml:space="preserve"> </w:t>
            </w:r>
            <w:r w:rsidR="0098261C" w:rsidRPr="00D66880">
              <w:rPr>
                <w:b/>
                <w:color w:val="FFFFFF" w:themeColor="background1"/>
              </w:rPr>
              <w:t xml:space="preserve">Izmjenama i dopunama Odluke o izboru članova vijeća mjesnih odbora na području </w:t>
            </w:r>
            <w:r w:rsidRPr="00D66880">
              <w:rPr>
                <w:b/>
                <w:color w:val="FFFFFF" w:themeColor="background1"/>
              </w:rPr>
              <w:t xml:space="preserve"> Grada Novske</w:t>
            </w: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  <w:bookmarkStart w:id="0" w:name="_GoBack"/>
            <w:bookmarkEnd w:id="0"/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98261C">
              <w:rPr>
                <w:b/>
              </w:rPr>
              <w:t>tak savjetovanja: 05. ožujka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98261C">
              <w:rPr>
                <w:b/>
              </w:rPr>
              <w:t xml:space="preserve"> 19. ožujka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F23B29">
        <w:rPr>
          <w:b/>
        </w:rPr>
        <w:t>19. ožujka</w:t>
      </w:r>
      <w:r w:rsidR="00A92D75">
        <w:rPr>
          <w:b/>
        </w:rPr>
        <w:t xml:space="preserve"> 2019.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Natalija</cp:lastModifiedBy>
  <cp:revision>4</cp:revision>
  <dcterms:created xsi:type="dcterms:W3CDTF">2019-03-06T11:31:00Z</dcterms:created>
  <dcterms:modified xsi:type="dcterms:W3CDTF">2019-03-06T12:04:00Z</dcterms:modified>
</cp:coreProperties>
</file>