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9CE41" w14:textId="74330E24" w:rsidR="009C70AA" w:rsidRPr="00D828E5" w:rsidRDefault="009C70AA" w:rsidP="00D828E5">
      <w:pPr>
        <w:spacing w:after="0" w:line="240" w:lineRule="auto"/>
        <w:jc w:val="center"/>
        <w:rPr>
          <w:b/>
          <w:sz w:val="24"/>
          <w:szCs w:val="24"/>
        </w:rPr>
      </w:pPr>
      <w:r w:rsidRPr="00D828E5">
        <w:rPr>
          <w:b/>
          <w:sz w:val="24"/>
          <w:szCs w:val="24"/>
        </w:rPr>
        <w:t xml:space="preserve">OBRAZLOŽENJE </w:t>
      </w:r>
      <w:r w:rsidR="008A37AF">
        <w:rPr>
          <w:b/>
          <w:sz w:val="24"/>
          <w:szCs w:val="24"/>
        </w:rPr>
        <w:t xml:space="preserve">OPĆEG DIJELA </w:t>
      </w:r>
      <w:r w:rsidR="00D828E5">
        <w:rPr>
          <w:b/>
          <w:sz w:val="24"/>
          <w:szCs w:val="24"/>
        </w:rPr>
        <w:t>PRVIH</w:t>
      </w:r>
      <w:r w:rsidRPr="00D828E5">
        <w:rPr>
          <w:b/>
          <w:sz w:val="24"/>
          <w:szCs w:val="24"/>
        </w:rPr>
        <w:t xml:space="preserve"> IZMJENA I DOPUNA PRORAČUNA</w:t>
      </w:r>
    </w:p>
    <w:p w14:paraId="6DACBC20" w14:textId="41AF1E0F" w:rsidR="00EB3E08" w:rsidRPr="00D828E5" w:rsidRDefault="009C70AA" w:rsidP="00D828E5">
      <w:pPr>
        <w:spacing w:after="0" w:line="240" w:lineRule="auto"/>
        <w:jc w:val="center"/>
        <w:rPr>
          <w:b/>
          <w:sz w:val="24"/>
          <w:szCs w:val="24"/>
        </w:rPr>
      </w:pPr>
      <w:r w:rsidRPr="00D828E5">
        <w:rPr>
          <w:b/>
          <w:sz w:val="24"/>
          <w:szCs w:val="24"/>
        </w:rPr>
        <w:t xml:space="preserve">GRADA NOVSKE ZA 2020. GODINU </w:t>
      </w:r>
    </w:p>
    <w:p w14:paraId="7620FBFD" w14:textId="6A70113E" w:rsidR="009C70AA" w:rsidRDefault="009C70AA" w:rsidP="009C70AA">
      <w:pPr>
        <w:jc w:val="center"/>
        <w:rPr>
          <w:sz w:val="24"/>
          <w:szCs w:val="24"/>
        </w:rPr>
      </w:pPr>
    </w:p>
    <w:p w14:paraId="465542E7" w14:textId="77777777" w:rsidR="007A6ED5" w:rsidRPr="007A6ED5" w:rsidRDefault="007A6ED5" w:rsidP="007A6ED5">
      <w:pPr>
        <w:rPr>
          <w:rFonts w:cs="Times New Roman"/>
          <w:bCs/>
          <w:sz w:val="24"/>
          <w:szCs w:val="24"/>
        </w:rPr>
      </w:pPr>
      <w:r w:rsidRPr="007A6ED5">
        <w:rPr>
          <w:rFonts w:cs="Times New Roman"/>
          <w:bCs/>
          <w:sz w:val="24"/>
          <w:szCs w:val="24"/>
        </w:rPr>
        <w:t>PRAVNI OSNOV</w:t>
      </w:r>
    </w:p>
    <w:p w14:paraId="4FF46F0F" w14:textId="77777777" w:rsidR="007A6ED5" w:rsidRPr="00B136AA" w:rsidRDefault="007A6ED5" w:rsidP="007A6ED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36AA">
        <w:rPr>
          <w:rFonts w:cs="Times New Roman"/>
          <w:sz w:val="24"/>
          <w:szCs w:val="24"/>
        </w:rPr>
        <w:t>Odredbama članka 7. Zakona o proračunu („Narodne novine“, broj 87/08, 136/12 i 15/</w:t>
      </w:r>
      <w:proofErr w:type="spellStart"/>
      <w:r w:rsidRPr="00B136AA">
        <w:rPr>
          <w:rFonts w:cs="Times New Roman"/>
          <w:sz w:val="24"/>
          <w:szCs w:val="24"/>
        </w:rPr>
        <w:t>15</w:t>
      </w:r>
      <w:proofErr w:type="spellEnd"/>
      <w:r w:rsidRPr="00B136AA">
        <w:rPr>
          <w:rFonts w:cs="Times New Roman"/>
          <w:sz w:val="24"/>
          <w:szCs w:val="24"/>
        </w:rPr>
        <w:t>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14:paraId="68526CEF" w14:textId="39F4BEDE" w:rsidR="009C70AA" w:rsidRDefault="009C70AA" w:rsidP="009C70AA">
      <w:pPr>
        <w:rPr>
          <w:sz w:val="24"/>
          <w:szCs w:val="24"/>
        </w:rPr>
      </w:pPr>
    </w:p>
    <w:p w14:paraId="7D4B0ED4" w14:textId="5F7A3C40" w:rsidR="00FD1B4E" w:rsidRDefault="00FD1B4E" w:rsidP="009C70AA">
      <w:pPr>
        <w:rPr>
          <w:sz w:val="24"/>
          <w:szCs w:val="24"/>
        </w:rPr>
      </w:pPr>
      <w:r>
        <w:rPr>
          <w:sz w:val="24"/>
          <w:szCs w:val="24"/>
        </w:rPr>
        <w:t>OBR</w:t>
      </w:r>
      <w:r w:rsidR="00D828E5">
        <w:rPr>
          <w:sz w:val="24"/>
          <w:szCs w:val="24"/>
        </w:rPr>
        <w:t>A</w:t>
      </w:r>
      <w:r>
        <w:rPr>
          <w:sz w:val="24"/>
          <w:szCs w:val="24"/>
        </w:rPr>
        <w:t xml:space="preserve">ZLOŽENJE </w:t>
      </w:r>
    </w:p>
    <w:p w14:paraId="2138DF92" w14:textId="1669FA38" w:rsidR="00D828E5" w:rsidRDefault="00D828E5" w:rsidP="00D828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Prvim izmjenama i dopunama P</w:t>
      </w:r>
      <w:r w:rsidR="00FD1B4E">
        <w:rPr>
          <w:sz w:val="24"/>
          <w:szCs w:val="24"/>
        </w:rPr>
        <w:t>roračuna za 2020. godinu iskazano je povećanje plana proračuna za 4,38</w:t>
      </w:r>
      <w:r>
        <w:rPr>
          <w:sz w:val="24"/>
          <w:szCs w:val="24"/>
        </w:rPr>
        <w:t xml:space="preserve"> </w:t>
      </w:r>
      <w:r w:rsidR="00FD1B4E">
        <w:rPr>
          <w:sz w:val="24"/>
          <w:szCs w:val="24"/>
        </w:rPr>
        <w:t xml:space="preserve">% ili </w:t>
      </w:r>
      <w:r>
        <w:rPr>
          <w:sz w:val="24"/>
          <w:szCs w:val="24"/>
        </w:rPr>
        <w:t xml:space="preserve"> za </w:t>
      </w:r>
      <w:r w:rsidR="00FD1B4E">
        <w:rPr>
          <w:sz w:val="24"/>
          <w:szCs w:val="24"/>
        </w:rPr>
        <w:t>3.544.000</w:t>
      </w:r>
      <w:r>
        <w:rPr>
          <w:sz w:val="24"/>
          <w:szCs w:val="24"/>
        </w:rPr>
        <w:t>,00</w:t>
      </w:r>
      <w:r w:rsidR="00FD1B4E">
        <w:rPr>
          <w:sz w:val="24"/>
          <w:szCs w:val="24"/>
        </w:rPr>
        <w:t xml:space="preserve"> kn tako da plan iznosi 84.474.428</w:t>
      </w:r>
      <w:r>
        <w:rPr>
          <w:sz w:val="24"/>
          <w:szCs w:val="24"/>
        </w:rPr>
        <w:t>,00</w:t>
      </w:r>
      <w:r w:rsidR="00FD1B4E">
        <w:rPr>
          <w:sz w:val="24"/>
          <w:szCs w:val="24"/>
        </w:rPr>
        <w:t xml:space="preserve"> kn. Gradonačelnik Grada Novske 23. siječnja 2020. godine donio</w:t>
      </w:r>
      <w:r>
        <w:rPr>
          <w:sz w:val="24"/>
          <w:szCs w:val="24"/>
        </w:rPr>
        <w:t xml:space="preserve"> je</w:t>
      </w:r>
      <w:r w:rsidR="00FD1B4E">
        <w:rPr>
          <w:sz w:val="24"/>
          <w:szCs w:val="24"/>
        </w:rPr>
        <w:t xml:space="preserve"> Odluku o odabiru najpovoljnije ponude u postupku nabave </w:t>
      </w:r>
      <w:r w:rsidR="00FD1B4E" w:rsidRPr="00D828E5">
        <w:rPr>
          <w:i/>
          <w:sz w:val="24"/>
          <w:szCs w:val="24"/>
        </w:rPr>
        <w:t>Radovi na rekonstrukcij</w:t>
      </w:r>
      <w:r>
        <w:rPr>
          <w:i/>
          <w:sz w:val="24"/>
          <w:szCs w:val="24"/>
        </w:rPr>
        <w:t>i i dogradnji postojeće zgrade h</w:t>
      </w:r>
      <w:r w:rsidR="00FD1B4E" w:rsidRPr="00D828E5">
        <w:rPr>
          <w:i/>
          <w:sz w:val="24"/>
          <w:szCs w:val="24"/>
        </w:rPr>
        <w:t xml:space="preserve">otela </w:t>
      </w:r>
      <w:proofErr w:type="spellStart"/>
      <w:r w:rsidR="00FD1B4E" w:rsidRPr="00D828E5">
        <w:rPr>
          <w:i/>
          <w:sz w:val="24"/>
          <w:szCs w:val="24"/>
        </w:rPr>
        <w:t>Knopp</w:t>
      </w:r>
      <w:proofErr w:type="spellEnd"/>
      <w:r w:rsidR="00FD1B4E">
        <w:rPr>
          <w:sz w:val="24"/>
          <w:szCs w:val="24"/>
        </w:rPr>
        <w:t xml:space="preserve">. </w:t>
      </w:r>
      <w:r w:rsidR="00FD3B10">
        <w:rPr>
          <w:sz w:val="24"/>
          <w:szCs w:val="24"/>
        </w:rPr>
        <w:t>Od</w:t>
      </w:r>
      <w:r w:rsidR="00FD1B4E">
        <w:rPr>
          <w:sz w:val="24"/>
          <w:szCs w:val="24"/>
        </w:rPr>
        <w:t>abrana  ponuda</w:t>
      </w:r>
      <w:r w:rsidR="00FD3B10">
        <w:rPr>
          <w:sz w:val="24"/>
          <w:szCs w:val="24"/>
        </w:rPr>
        <w:t xml:space="preserve"> suklad</w:t>
      </w:r>
      <w:r>
        <w:rPr>
          <w:sz w:val="24"/>
          <w:szCs w:val="24"/>
        </w:rPr>
        <w:t>na je uvjetima i zahtjevima iz d</w:t>
      </w:r>
      <w:r w:rsidR="00FD3B10">
        <w:rPr>
          <w:sz w:val="24"/>
          <w:szCs w:val="24"/>
        </w:rPr>
        <w:t xml:space="preserve">okumentacije o nabavi i ekonomski je najpovoljnija ponuda </w:t>
      </w:r>
      <w:r w:rsidR="00FD1B4E">
        <w:rPr>
          <w:sz w:val="24"/>
          <w:szCs w:val="24"/>
        </w:rPr>
        <w:t xml:space="preserve"> s iznosom od 31.109.862,09 kn.</w:t>
      </w:r>
      <w:r w:rsidR="00FD3B10">
        <w:rPr>
          <w:sz w:val="24"/>
          <w:szCs w:val="24"/>
        </w:rPr>
        <w:t xml:space="preserve"> Za navedeni predmet javne nabave, ukupno planirana sredstva kroz trogodišnje razdoblje iznose 27.866.000</w:t>
      </w:r>
      <w:r>
        <w:rPr>
          <w:sz w:val="24"/>
          <w:szCs w:val="24"/>
        </w:rPr>
        <w:t>,00</w:t>
      </w:r>
      <w:r w:rsidR="00FD3B10">
        <w:rPr>
          <w:sz w:val="24"/>
          <w:szCs w:val="24"/>
        </w:rPr>
        <w:t xml:space="preserve"> kn. Ovim izmjenama i dopunama osiguravaju se dodatna sredstva u iznosu od 3.244.000</w:t>
      </w:r>
      <w:r>
        <w:rPr>
          <w:sz w:val="24"/>
          <w:szCs w:val="24"/>
        </w:rPr>
        <w:t>,00</w:t>
      </w:r>
      <w:r w:rsidR="00FD3B10">
        <w:rPr>
          <w:sz w:val="24"/>
          <w:szCs w:val="24"/>
        </w:rPr>
        <w:t xml:space="preserve"> kn, u svrhu završetka postupka javne nabave</w:t>
      </w:r>
      <w:r>
        <w:rPr>
          <w:sz w:val="24"/>
          <w:szCs w:val="24"/>
        </w:rPr>
        <w:t>,</w:t>
      </w:r>
      <w:r w:rsidR="00FD3B10">
        <w:rPr>
          <w:sz w:val="24"/>
          <w:szCs w:val="24"/>
        </w:rPr>
        <w:t xml:space="preserve"> tj. potpisivanja ugovora. Dodatna sredstva osigurana su u iznosu od 2.000.000</w:t>
      </w:r>
      <w:r>
        <w:rPr>
          <w:sz w:val="24"/>
          <w:szCs w:val="24"/>
        </w:rPr>
        <w:t>,00</w:t>
      </w:r>
      <w:r w:rsidR="00FD3B10">
        <w:rPr>
          <w:sz w:val="24"/>
          <w:szCs w:val="24"/>
        </w:rPr>
        <w:t xml:space="preserve"> kn pomoći iz državnog proračuna, točnije pomoći Ministarstva kulture i 1.244.000</w:t>
      </w:r>
      <w:r>
        <w:rPr>
          <w:sz w:val="24"/>
          <w:szCs w:val="24"/>
        </w:rPr>
        <w:t>,00</w:t>
      </w:r>
      <w:r w:rsidR="00FD3B10">
        <w:rPr>
          <w:sz w:val="24"/>
          <w:szCs w:val="24"/>
        </w:rPr>
        <w:t xml:space="preserve"> iz općih prihoda koji će</w:t>
      </w:r>
      <w:r w:rsidR="007312A2">
        <w:rPr>
          <w:sz w:val="24"/>
          <w:szCs w:val="24"/>
        </w:rPr>
        <w:t xml:space="preserve"> biti uplaćeni iz Ministarstva financija kao kompenzacijska mjera Vlade RH za premošćivanje jaza u smanjenju prihoda od poreza na dohodak koje će osjetiti jedinice lokalne samouprave zbog povećanj</w:t>
      </w:r>
      <w:r w:rsidR="006C4304">
        <w:rPr>
          <w:sz w:val="24"/>
          <w:szCs w:val="24"/>
        </w:rPr>
        <w:t>a</w:t>
      </w:r>
      <w:r w:rsidR="007312A2">
        <w:rPr>
          <w:sz w:val="24"/>
          <w:szCs w:val="24"/>
        </w:rPr>
        <w:t xml:space="preserve"> osnovnog osobnog odbitka s 3.800</w:t>
      </w:r>
      <w:r>
        <w:rPr>
          <w:sz w:val="24"/>
          <w:szCs w:val="24"/>
        </w:rPr>
        <w:t>,00</w:t>
      </w:r>
      <w:r w:rsidR="007312A2">
        <w:rPr>
          <w:sz w:val="24"/>
          <w:szCs w:val="24"/>
        </w:rPr>
        <w:t xml:space="preserve"> kn na 4.000</w:t>
      </w:r>
      <w:r>
        <w:rPr>
          <w:sz w:val="24"/>
          <w:szCs w:val="24"/>
        </w:rPr>
        <w:t>,00</w:t>
      </w:r>
      <w:r w:rsidR="007312A2">
        <w:rPr>
          <w:sz w:val="24"/>
          <w:szCs w:val="24"/>
        </w:rPr>
        <w:t xml:space="preserve"> kn. </w:t>
      </w:r>
    </w:p>
    <w:p w14:paraId="429C82E5" w14:textId="4C4B8D70" w:rsidR="00FD1B4E" w:rsidRDefault="007312A2" w:rsidP="00D828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Ovim izmjenama i dopunama povećan je plan</w:t>
      </w:r>
      <w:r w:rsidR="00FD3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programa </w:t>
      </w:r>
      <w:r w:rsidRPr="00D828E5">
        <w:rPr>
          <w:i/>
          <w:sz w:val="24"/>
          <w:szCs w:val="24"/>
        </w:rPr>
        <w:t>Gospodarstvo</w:t>
      </w:r>
      <w:r>
        <w:rPr>
          <w:sz w:val="24"/>
          <w:szCs w:val="24"/>
        </w:rPr>
        <w:t xml:space="preserve">, točnije projekt </w:t>
      </w:r>
      <w:r w:rsidRPr="00D828E5">
        <w:rPr>
          <w:i/>
          <w:sz w:val="24"/>
          <w:szCs w:val="24"/>
        </w:rPr>
        <w:t>Poljoprivreda i ruralni razvoj</w:t>
      </w:r>
      <w:r>
        <w:rPr>
          <w:sz w:val="24"/>
          <w:szCs w:val="24"/>
        </w:rPr>
        <w:t xml:space="preserve"> na stavkama rashoda Upravnog odjela za komunalni sustav, prostorno planiranje i zašti</w:t>
      </w:r>
      <w:r w:rsidR="00D828E5">
        <w:rPr>
          <w:sz w:val="24"/>
          <w:szCs w:val="24"/>
        </w:rPr>
        <w:t>tu okoliša. Sredstva su povećan</w:t>
      </w:r>
      <w:r>
        <w:rPr>
          <w:sz w:val="24"/>
          <w:szCs w:val="24"/>
        </w:rPr>
        <w:t>a za 300.000</w:t>
      </w:r>
      <w:r w:rsidR="00D828E5">
        <w:rPr>
          <w:sz w:val="24"/>
          <w:szCs w:val="24"/>
        </w:rPr>
        <w:t>,00</w:t>
      </w:r>
      <w:r>
        <w:rPr>
          <w:sz w:val="24"/>
          <w:szCs w:val="24"/>
        </w:rPr>
        <w:t xml:space="preserve"> kn na ime održavanja poljoprivrednog zemljišta izgradnjom ograde za zaštitu usjeva od divljači. </w:t>
      </w:r>
    </w:p>
    <w:p w14:paraId="69503196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448B4632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2E10CBED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556BFBD1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2AA86E06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1A91A1A4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5FF2D2AA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0188A58B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72437A8B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21C1176B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07AC18B3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703C40AC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528A08C9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147FDC11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</w:p>
    <w:p w14:paraId="55C80C9B" w14:textId="77777777" w:rsidR="001C79AC" w:rsidRDefault="001C79AC" w:rsidP="00D828E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3C8E354D" w14:textId="369F9108" w:rsidR="001C79AC" w:rsidRDefault="001C79AC" w:rsidP="001C79AC">
      <w:pPr>
        <w:jc w:val="center"/>
        <w:rPr>
          <w:rFonts w:cstheme="minorHAnsi"/>
          <w:b/>
          <w:sz w:val="24"/>
          <w:szCs w:val="24"/>
        </w:rPr>
      </w:pPr>
      <w:r w:rsidRPr="001C79AC">
        <w:rPr>
          <w:rFonts w:cstheme="minorHAnsi"/>
          <w:b/>
          <w:sz w:val="24"/>
          <w:szCs w:val="24"/>
        </w:rPr>
        <w:lastRenderedPageBreak/>
        <w:t>OBRAZLOŽENJE POSEBNOG DIJELA PRVIH IZMJENA I DOPUNA PRORAČUNA ZA 2020. GODINU</w:t>
      </w:r>
    </w:p>
    <w:p w14:paraId="228BB361" w14:textId="77777777" w:rsidR="001C79AC" w:rsidRDefault="001C79AC" w:rsidP="001C79AC">
      <w:pPr>
        <w:jc w:val="center"/>
        <w:rPr>
          <w:rFonts w:cstheme="minorHAnsi"/>
          <w:b/>
          <w:sz w:val="24"/>
          <w:szCs w:val="24"/>
        </w:rPr>
      </w:pPr>
    </w:p>
    <w:p w14:paraId="58D7F6BD" w14:textId="549661CD" w:rsidR="001C79AC" w:rsidRPr="001C79AC" w:rsidRDefault="001C79AC" w:rsidP="001C79AC">
      <w:pPr>
        <w:jc w:val="both"/>
        <w:rPr>
          <w:rFonts w:cstheme="minorHAnsi"/>
          <w:color w:val="FF0000"/>
          <w:sz w:val="24"/>
          <w:szCs w:val="24"/>
        </w:rPr>
      </w:pPr>
      <w:r w:rsidRPr="001C79AC">
        <w:rPr>
          <w:rFonts w:cstheme="minorHAnsi"/>
          <w:b/>
          <w:sz w:val="24"/>
          <w:szCs w:val="24"/>
        </w:rPr>
        <w:t xml:space="preserve">Program 1010 GOSPODARSTVO – </w:t>
      </w:r>
      <w:r w:rsidRPr="001C79AC">
        <w:rPr>
          <w:rFonts w:cstheme="minorHAnsi"/>
          <w:b/>
          <w:strike/>
          <w:sz w:val="24"/>
          <w:szCs w:val="24"/>
        </w:rPr>
        <w:t>200.000,00</w:t>
      </w:r>
      <w:r w:rsidRPr="001C79AC">
        <w:rPr>
          <w:rFonts w:cstheme="minorHAnsi"/>
          <w:b/>
          <w:sz w:val="24"/>
          <w:szCs w:val="24"/>
        </w:rPr>
        <w:t xml:space="preserve"> kn </w:t>
      </w:r>
      <w:r w:rsidRPr="001C79AC">
        <w:rPr>
          <w:rFonts w:cstheme="minorHAnsi"/>
          <w:b/>
          <w:color w:val="FF0000"/>
          <w:sz w:val="24"/>
          <w:szCs w:val="24"/>
        </w:rPr>
        <w:t>500.000,00 kn</w:t>
      </w:r>
    </w:p>
    <w:p w14:paraId="7FC994C7" w14:textId="77777777" w:rsidR="001C79AC" w:rsidRPr="001C79AC" w:rsidRDefault="001C79AC" w:rsidP="001C79AC">
      <w:pPr>
        <w:jc w:val="both"/>
        <w:rPr>
          <w:rFonts w:cstheme="minorHAnsi"/>
          <w:sz w:val="24"/>
          <w:szCs w:val="24"/>
          <w:u w:val="single"/>
        </w:rPr>
      </w:pPr>
      <w:r w:rsidRPr="001C79AC">
        <w:rPr>
          <w:rFonts w:cstheme="minorHAnsi"/>
          <w:b/>
          <w:sz w:val="24"/>
          <w:szCs w:val="24"/>
          <w:u w:val="single"/>
        </w:rPr>
        <w:t>Pravni temelj</w:t>
      </w:r>
      <w:r w:rsidRPr="001C79AC">
        <w:rPr>
          <w:rFonts w:cstheme="minorHAnsi"/>
          <w:sz w:val="24"/>
          <w:szCs w:val="24"/>
          <w:u w:val="single"/>
        </w:rPr>
        <w:t>:</w:t>
      </w:r>
    </w:p>
    <w:p w14:paraId="74BFABFF" w14:textId="771B2FBA" w:rsidR="001C79AC" w:rsidRPr="001C79AC" w:rsidRDefault="001C79AC" w:rsidP="001C79AC">
      <w:pPr>
        <w:jc w:val="both"/>
        <w:rPr>
          <w:rFonts w:cstheme="minorHAnsi"/>
          <w:sz w:val="24"/>
          <w:szCs w:val="24"/>
          <w:u w:val="single"/>
        </w:rPr>
      </w:pPr>
      <w:r w:rsidRPr="001C79AC">
        <w:rPr>
          <w:rFonts w:cstheme="minorHAnsi"/>
          <w:sz w:val="24"/>
          <w:szCs w:val="24"/>
        </w:rPr>
        <w:t xml:space="preserve">Zakon o lokalnoj i područnoj (regionalnoj) samoupravi, Zakonu o poljoprivredi, Statut Grada i drugi zakonski i </w:t>
      </w:r>
      <w:proofErr w:type="spellStart"/>
      <w:r w:rsidRPr="001C79AC">
        <w:rPr>
          <w:rFonts w:cstheme="minorHAnsi"/>
          <w:sz w:val="24"/>
          <w:szCs w:val="24"/>
        </w:rPr>
        <w:t>podzakonski</w:t>
      </w:r>
      <w:proofErr w:type="spellEnd"/>
      <w:r w:rsidRPr="001C79AC">
        <w:rPr>
          <w:rFonts w:cstheme="minorHAnsi"/>
          <w:sz w:val="24"/>
          <w:szCs w:val="24"/>
        </w:rPr>
        <w:t xml:space="preserve"> akti koji reguliraju problematiku iz nadležnosti upravnog odjela.</w:t>
      </w:r>
    </w:p>
    <w:p w14:paraId="30DDAB0A" w14:textId="77777777" w:rsidR="001C79AC" w:rsidRDefault="001C79AC" w:rsidP="001C79AC">
      <w:pPr>
        <w:jc w:val="both"/>
        <w:rPr>
          <w:rFonts w:cstheme="minorHAnsi"/>
          <w:b/>
          <w:sz w:val="24"/>
          <w:szCs w:val="24"/>
          <w:u w:val="single"/>
        </w:rPr>
      </w:pPr>
      <w:r w:rsidRPr="001C79AC">
        <w:rPr>
          <w:rFonts w:cstheme="minorHAnsi"/>
          <w:b/>
          <w:sz w:val="24"/>
          <w:szCs w:val="24"/>
          <w:u w:val="single"/>
        </w:rPr>
        <w:t>Cilj programa:</w:t>
      </w:r>
    </w:p>
    <w:p w14:paraId="3D8DA346" w14:textId="2A9EEE16" w:rsidR="001C79AC" w:rsidRPr="001C79AC" w:rsidRDefault="001C79AC" w:rsidP="001C79AC">
      <w:pPr>
        <w:jc w:val="both"/>
        <w:rPr>
          <w:rFonts w:cstheme="minorHAnsi"/>
          <w:b/>
          <w:sz w:val="24"/>
          <w:szCs w:val="24"/>
          <w:u w:val="single"/>
        </w:rPr>
      </w:pPr>
      <w:r w:rsidRPr="001C79AC">
        <w:rPr>
          <w:rFonts w:cstheme="minorHAnsi"/>
          <w:bCs/>
          <w:sz w:val="24"/>
          <w:szCs w:val="24"/>
        </w:rPr>
        <w:t>Cilj ovog</w:t>
      </w:r>
      <w:r w:rsidRPr="001C79AC">
        <w:rPr>
          <w:rFonts w:cstheme="minorHAnsi"/>
          <w:sz w:val="24"/>
          <w:szCs w:val="24"/>
        </w:rPr>
        <w:t xml:space="preserve"> programa je poticati razvoj poduzetništva i poljoprivrede, potaknuti osnivanje novih i jačanje postojećih subjekata, povećati zaposlenost, te mjerama ruralnog razvoja pridonijeti unapređenju konkurentnosti poljoprivrednog sektora, očuvanju i unapređenju okoliša i krajobraza i poboljšati kvalitetu života u ovom ruralnom području. </w:t>
      </w:r>
    </w:p>
    <w:p w14:paraId="6DA2CC3E" w14:textId="41C090CB" w:rsidR="001C79AC" w:rsidRPr="001C79AC" w:rsidRDefault="001C79AC" w:rsidP="001C79AC">
      <w:pPr>
        <w:jc w:val="both"/>
        <w:rPr>
          <w:rFonts w:cstheme="minorHAnsi"/>
          <w:b/>
          <w:bCs/>
          <w:sz w:val="24"/>
          <w:szCs w:val="24"/>
        </w:rPr>
      </w:pPr>
      <w:r w:rsidRPr="001C79AC">
        <w:rPr>
          <w:rFonts w:cstheme="minorHAnsi"/>
          <w:b/>
          <w:sz w:val="24"/>
          <w:szCs w:val="24"/>
          <w:u w:val="single"/>
        </w:rPr>
        <w:t>Program obuhvaća sljedeće tekuće projekte</w:t>
      </w:r>
      <w:r w:rsidRPr="001C79AC">
        <w:rPr>
          <w:rFonts w:cstheme="minorHAnsi"/>
          <w:sz w:val="24"/>
          <w:szCs w:val="24"/>
        </w:rPr>
        <w:t>:</w:t>
      </w:r>
    </w:p>
    <w:p w14:paraId="5986F459" w14:textId="77777777" w:rsidR="001C79AC" w:rsidRDefault="001C79AC" w:rsidP="001C79AC">
      <w:pPr>
        <w:jc w:val="both"/>
        <w:rPr>
          <w:rFonts w:cstheme="minorHAnsi"/>
          <w:b/>
          <w:sz w:val="24"/>
          <w:szCs w:val="24"/>
        </w:rPr>
      </w:pPr>
      <w:r w:rsidRPr="001C79AC">
        <w:rPr>
          <w:rFonts w:cstheme="minorHAnsi"/>
          <w:b/>
          <w:sz w:val="24"/>
          <w:szCs w:val="24"/>
        </w:rPr>
        <w:t xml:space="preserve">Tekući projekt 1010 T100001 Poljoprivreda i ruralni razvoj – </w:t>
      </w:r>
      <w:r w:rsidRPr="001C79AC">
        <w:rPr>
          <w:rFonts w:cstheme="minorHAnsi"/>
          <w:b/>
          <w:strike/>
          <w:sz w:val="24"/>
          <w:szCs w:val="24"/>
        </w:rPr>
        <w:t xml:space="preserve">200.000,00 kn </w:t>
      </w:r>
      <w:r w:rsidRPr="001C79AC">
        <w:rPr>
          <w:rFonts w:cstheme="minorHAnsi"/>
          <w:b/>
          <w:color w:val="FF0000"/>
          <w:sz w:val="24"/>
          <w:szCs w:val="24"/>
        </w:rPr>
        <w:t>500.000,00</w:t>
      </w:r>
      <w:r w:rsidRPr="001C79AC">
        <w:rPr>
          <w:rFonts w:cstheme="minorHAnsi"/>
          <w:b/>
          <w:sz w:val="24"/>
          <w:szCs w:val="24"/>
        </w:rPr>
        <w:t xml:space="preserve"> kn</w:t>
      </w:r>
    </w:p>
    <w:p w14:paraId="14EB709A" w14:textId="646D510D" w:rsidR="001C79AC" w:rsidRDefault="001C79AC" w:rsidP="001C79AC">
      <w:pPr>
        <w:jc w:val="both"/>
        <w:rPr>
          <w:rFonts w:cstheme="minorHAnsi"/>
          <w:b/>
          <w:sz w:val="24"/>
          <w:szCs w:val="24"/>
        </w:rPr>
      </w:pPr>
      <w:r w:rsidRPr="001C79AC">
        <w:rPr>
          <w:rFonts w:cstheme="minorHAnsi"/>
          <w:sz w:val="24"/>
          <w:szCs w:val="24"/>
        </w:rPr>
        <w:t xml:space="preserve">Sredstva planirana ovim projektom u iznosu od 200.000,00 kn kojima se planiralo izgraditi </w:t>
      </w:r>
      <w:proofErr w:type="spellStart"/>
      <w:r w:rsidRPr="001C79AC">
        <w:rPr>
          <w:rFonts w:cstheme="minorHAnsi"/>
          <w:sz w:val="24"/>
          <w:szCs w:val="24"/>
        </w:rPr>
        <w:t>cca</w:t>
      </w:r>
      <w:proofErr w:type="spellEnd"/>
      <w:r w:rsidRPr="001C79AC">
        <w:rPr>
          <w:rFonts w:cstheme="minorHAnsi"/>
          <w:sz w:val="24"/>
          <w:szCs w:val="24"/>
        </w:rPr>
        <w:t xml:space="preserve"> 2.000 metara dužnih ograde koja dijeli šumu od poljoprivrednih površina u području ispod naselja Rajić i </w:t>
      </w:r>
      <w:proofErr w:type="spellStart"/>
      <w:r w:rsidRPr="001C79AC">
        <w:rPr>
          <w:rFonts w:cstheme="minorHAnsi"/>
          <w:sz w:val="24"/>
          <w:szCs w:val="24"/>
        </w:rPr>
        <w:t>Borovac</w:t>
      </w:r>
      <w:proofErr w:type="spellEnd"/>
      <w:r w:rsidRPr="001C79AC">
        <w:rPr>
          <w:rFonts w:cstheme="minorHAnsi"/>
          <w:sz w:val="24"/>
          <w:szCs w:val="24"/>
        </w:rPr>
        <w:t xml:space="preserve">, povećavaju se na iznos od 500.000,00 kn. Ovim sredstvima se planira izgraditi </w:t>
      </w:r>
      <w:proofErr w:type="spellStart"/>
      <w:r w:rsidRPr="001C79AC">
        <w:rPr>
          <w:rFonts w:cstheme="minorHAnsi"/>
          <w:sz w:val="24"/>
          <w:szCs w:val="24"/>
        </w:rPr>
        <w:t>cca</w:t>
      </w:r>
      <w:proofErr w:type="spellEnd"/>
      <w:r w:rsidRPr="001C79AC">
        <w:rPr>
          <w:rFonts w:cstheme="minorHAnsi"/>
          <w:sz w:val="24"/>
          <w:szCs w:val="24"/>
        </w:rPr>
        <w:t xml:space="preserve"> 4.600 metara dužnih ograde. Obnovom ove ograde bi se spriječilo divljač da pravi štete na poljoprivrednim usjevima, koje su u ovom trenutku vrlo velike.</w:t>
      </w:r>
    </w:p>
    <w:p w14:paraId="50CB3E22" w14:textId="77777777" w:rsidR="001C79AC" w:rsidRPr="001C79AC" w:rsidRDefault="001C79AC" w:rsidP="001C79AC">
      <w:pPr>
        <w:jc w:val="both"/>
        <w:rPr>
          <w:rFonts w:cstheme="minorHAnsi"/>
          <w:b/>
          <w:sz w:val="24"/>
          <w:szCs w:val="24"/>
        </w:rPr>
      </w:pPr>
    </w:p>
    <w:p w14:paraId="274B7AA5" w14:textId="77777777" w:rsidR="001C79AC" w:rsidRPr="001C79AC" w:rsidRDefault="001C79AC" w:rsidP="001C79AC">
      <w:pPr>
        <w:jc w:val="both"/>
        <w:rPr>
          <w:rFonts w:cstheme="minorHAnsi"/>
          <w:sz w:val="24"/>
          <w:szCs w:val="24"/>
        </w:rPr>
      </w:pPr>
      <w:r w:rsidRPr="001C79AC">
        <w:rPr>
          <w:rFonts w:cstheme="minorHAnsi"/>
          <w:sz w:val="24"/>
          <w:szCs w:val="24"/>
        </w:rPr>
        <w:t>Plan realizacije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6"/>
        <w:gridCol w:w="1377"/>
        <w:gridCol w:w="991"/>
        <w:gridCol w:w="1327"/>
        <w:gridCol w:w="1409"/>
        <w:gridCol w:w="1409"/>
        <w:gridCol w:w="1409"/>
      </w:tblGrid>
      <w:tr w:rsidR="001C79AC" w:rsidRPr="001C79AC" w14:paraId="6FB1028A" w14:textId="77777777" w:rsidTr="00AF13BB">
        <w:tc>
          <w:tcPr>
            <w:tcW w:w="0" w:type="auto"/>
          </w:tcPr>
          <w:p w14:paraId="15ACD659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Pokazatelj rezultata</w:t>
            </w:r>
          </w:p>
        </w:tc>
        <w:tc>
          <w:tcPr>
            <w:tcW w:w="0" w:type="auto"/>
          </w:tcPr>
          <w:p w14:paraId="22A7D5F9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Definicija</w:t>
            </w:r>
          </w:p>
        </w:tc>
        <w:tc>
          <w:tcPr>
            <w:tcW w:w="0" w:type="auto"/>
          </w:tcPr>
          <w:p w14:paraId="1BC8696E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Jedinica</w:t>
            </w:r>
          </w:p>
        </w:tc>
        <w:tc>
          <w:tcPr>
            <w:tcW w:w="0" w:type="auto"/>
          </w:tcPr>
          <w:p w14:paraId="72816EBC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Polazna vrijednost</w:t>
            </w:r>
          </w:p>
        </w:tc>
        <w:tc>
          <w:tcPr>
            <w:tcW w:w="0" w:type="auto"/>
          </w:tcPr>
          <w:p w14:paraId="6A8210F7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Ciljana vrijednost 2020.</w:t>
            </w:r>
          </w:p>
        </w:tc>
        <w:tc>
          <w:tcPr>
            <w:tcW w:w="0" w:type="auto"/>
          </w:tcPr>
          <w:p w14:paraId="1AD1B883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Ciljana vrijednost 2021.</w:t>
            </w:r>
          </w:p>
        </w:tc>
        <w:tc>
          <w:tcPr>
            <w:tcW w:w="0" w:type="auto"/>
          </w:tcPr>
          <w:p w14:paraId="7AA038D3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Ciljana vrijednost 2022.</w:t>
            </w:r>
          </w:p>
        </w:tc>
      </w:tr>
      <w:tr w:rsidR="001C79AC" w:rsidRPr="001C79AC" w14:paraId="12786143" w14:textId="77777777" w:rsidTr="00AF13BB">
        <w:tc>
          <w:tcPr>
            <w:tcW w:w="0" w:type="auto"/>
          </w:tcPr>
          <w:p w14:paraId="74BB6D21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Metara ograde</w:t>
            </w:r>
          </w:p>
        </w:tc>
        <w:tc>
          <w:tcPr>
            <w:tcW w:w="0" w:type="auto"/>
          </w:tcPr>
          <w:p w14:paraId="555674B6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Izgradnja zaštitne ograde</w:t>
            </w:r>
          </w:p>
        </w:tc>
        <w:tc>
          <w:tcPr>
            <w:tcW w:w="0" w:type="auto"/>
          </w:tcPr>
          <w:p w14:paraId="70C84F58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4F98CC05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2130</w:t>
            </w:r>
          </w:p>
        </w:tc>
        <w:tc>
          <w:tcPr>
            <w:tcW w:w="0" w:type="auto"/>
          </w:tcPr>
          <w:p w14:paraId="33D7A8C5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trike/>
                <w:sz w:val="24"/>
                <w:szCs w:val="24"/>
              </w:rPr>
              <w:t>2000</w:t>
            </w:r>
          </w:p>
          <w:p w14:paraId="737255F2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79AC">
              <w:rPr>
                <w:rFonts w:asciiTheme="minorHAnsi" w:hAnsiTheme="minorHAnsi" w:cstheme="minorHAnsi"/>
                <w:sz w:val="24"/>
                <w:szCs w:val="24"/>
              </w:rPr>
              <w:t>4600</w:t>
            </w:r>
          </w:p>
        </w:tc>
        <w:tc>
          <w:tcPr>
            <w:tcW w:w="0" w:type="auto"/>
          </w:tcPr>
          <w:p w14:paraId="04581097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1812515" w14:textId="77777777" w:rsidR="001C79AC" w:rsidRPr="001C79AC" w:rsidRDefault="001C79AC" w:rsidP="00AF13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37F785" w14:textId="77777777" w:rsidR="001C79AC" w:rsidRPr="001C79AC" w:rsidRDefault="001C79AC" w:rsidP="001C79AC">
      <w:pPr>
        <w:ind w:firstLine="708"/>
        <w:jc w:val="both"/>
        <w:rPr>
          <w:rFonts w:cstheme="minorHAnsi"/>
          <w:sz w:val="24"/>
          <w:szCs w:val="24"/>
        </w:rPr>
      </w:pPr>
    </w:p>
    <w:p w14:paraId="769872EB" w14:textId="77777777" w:rsidR="001C79AC" w:rsidRPr="001C79AC" w:rsidRDefault="001C79AC" w:rsidP="00D828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C79AC" w:rsidRPr="001C7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6A97B" w14:textId="77777777" w:rsidR="0029272B" w:rsidRDefault="0029272B" w:rsidP="0029272B">
      <w:pPr>
        <w:spacing w:after="0" w:line="240" w:lineRule="auto"/>
      </w:pPr>
      <w:r>
        <w:separator/>
      </w:r>
    </w:p>
  </w:endnote>
  <w:endnote w:type="continuationSeparator" w:id="0">
    <w:p w14:paraId="2AD4541F" w14:textId="77777777" w:rsidR="0029272B" w:rsidRDefault="0029272B" w:rsidP="0029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BD72" w14:textId="77777777" w:rsidR="0029272B" w:rsidRDefault="0029272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328777"/>
      <w:docPartObj>
        <w:docPartGallery w:val="Page Numbers (Bottom of Page)"/>
        <w:docPartUnique/>
      </w:docPartObj>
    </w:sdtPr>
    <w:sdtEndPr/>
    <w:sdtContent>
      <w:p w14:paraId="3AD20DEB" w14:textId="1106E8C7" w:rsidR="0029272B" w:rsidRDefault="0029272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B9">
          <w:rPr>
            <w:noProof/>
          </w:rPr>
          <w:t>2</w:t>
        </w:r>
        <w:r>
          <w:fldChar w:fldCharType="end"/>
        </w:r>
      </w:p>
    </w:sdtContent>
  </w:sdt>
  <w:p w14:paraId="4A8CD3C2" w14:textId="77777777" w:rsidR="0029272B" w:rsidRDefault="0029272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1C0E" w14:textId="77777777" w:rsidR="0029272B" w:rsidRDefault="002927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B92CE" w14:textId="77777777" w:rsidR="0029272B" w:rsidRDefault="0029272B" w:rsidP="0029272B">
      <w:pPr>
        <w:spacing w:after="0" w:line="240" w:lineRule="auto"/>
      </w:pPr>
      <w:r>
        <w:separator/>
      </w:r>
    </w:p>
  </w:footnote>
  <w:footnote w:type="continuationSeparator" w:id="0">
    <w:p w14:paraId="5EAE88FA" w14:textId="77777777" w:rsidR="0029272B" w:rsidRDefault="0029272B" w:rsidP="0029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29309" w14:textId="77777777" w:rsidR="0029272B" w:rsidRDefault="0029272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FB367" w14:textId="77777777" w:rsidR="0029272B" w:rsidRDefault="0029272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E4B7D" w14:textId="77777777" w:rsidR="0029272B" w:rsidRDefault="0029272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AA"/>
    <w:rsid w:val="001C79AC"/>
    <w:rsid w:val="0029272B"/>
    <w:rsid w:val="002B586C"/>
    <w:rsid w:val="006C4304"/>
    <w:rsid w:val="007312A2"/>
    <w:rsid w:val="007A6ED5"/>
    <w:rsid w:val="008A37AF"/>
    <w:rsid w:val="009C70AA"/>
    <w:rsid w:val="00D828E5"/>
    <w:rsid w:val="00EB3E08"/>
    <w:rsid w:val="00FC68B9"/>
    <w:rsid w:val="00FD1B4E"/>
    <w:rsid w:val="00F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2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272B"/>
  </w:style>
  <w:style w:type="paragraph" w:styleId="Podnoje">
    <w:name w:val="footer"/>
    <w:basedOn w:val="Normal"/>
    <w:link w:val="PodnojeChar"/>
    <w:uiPriority w:val="99"/>
    <w:unhideWhenUsed/>
    <w:rsid w:val="0029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272B"/>
  </w:style>
  <w:style w:type="table" w:styleId="Reetkatablice">
    <w:name w:val="Table Grid"/>
    <w:basedOn w:val="Obinatablica"/>
    <w:rsid w:val="001C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9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272B"/>
  </w:style>
  <w:style w:type="paragraph" w:styleId="Podnoje">
    <w:name w:val="footer"/>
    <w:basedOn w:val="Normal"/>
    <w:link w:val="PodnojeChar"/>
    <w:uiPriority w:val="99"/>
    <w:unhideWhenUsed/>
    <w:rsid w:val="00292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272B"/>
  </w:style>
  <w:style w:type="table" w:styleId="Reetkatablice">
    <w:name w:val="Table Grid"/>
    <w:basedOn w:val="Obinatablica"/>
    <w:rsid w:val="001C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10</cp:revision>
  <dcterms:created xsi:type="dcterms:W3CDTF">2020-02-06T07:52:00Z</dcterms:created>
  <dcterms:modified xsi:type="dcterms:W3CDTF">2020-02-06T14:36:00Z</dcterms:modified>
</cp:coreProperties>
</file>