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5C" w:rsidRPr="000903F8" w:rsidRDefault="005A26CB" w:rsidP="009A2503">
      <w:pPr>
        <w:pStyle w:val="Odlomakpopisa"/>
        <w:spacing w:after="0" w:line="240" w:lineRule="auto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903F8">
        <w:rPr>
          <w:rFonts w:cstheme="minorHAnsi"/>
          <w:b/>
          <w:color w:val="000000" w:themeColor="text1"/>
          <w:sz w:val="24"/>
          <w:szCs w:val="24"/>
        </w:rPr>
        <w:t>ZAKONODAVNI OKVIR:</w:t>
      </w:r>
    </w:p>
    <w:p w:rsidR="000903F8" w:rsidRPr="009A2503" w:rsidRDefault="000903F8" w:rsidP="009A2503">
      <w:pPr>
        <w:pStyle w:val="Odlomakpopisa"/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:rsidR="005A26CB" w:rsidRPr="009A2503" w:rsidRDefault="005A26CB" w:rsidP="009A250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9A2503">
        <w:rPr>
          <w:rFonts w:cstheme="minorHAnsi"/>
          <w:color w:val="000000" w:themeColor="text1"/>
          <w:sz w:val="24"/>
          <w:szCs w:val="24"/>
        </w:rPr>
        <w:t xml:space="preserve">Zakon o proračunu („Narodne novine“, broj </w:t>
      </w:r>
      <w:r w:rsidR="00CA7D61" w:rsidRPr="009A2503">
        <w:rPr>
          <w:rFonts w:cstheme="minorHAnsi"/>
          <w:color w:val="000000" w:themeColor="text1"/>
          <w:sz w:val="24"/>
          <w:szCs w:val="24"/>
        </w:rPr>
        <w:t>87/08, 136/12 i 15/</w:t>
      </w:r>
      <w:proofErr w:type="spellStart"/>
      <w:r w:rsidR="00CA7D61" w:rsidRPr="009A2503">
        <w:rPr>
          <w:rFonts w:cstheme="minorHAnsi"/>
          <w:color w:val="000000" w:themeColor="text1"/>
          <w:sz w:val="24"/>
          <w:szCs w:val="24"/>
        </w:rPr>
        <w:t>15</w:t>
      </w:r>
      <w:proofErr w:type="spellEnd"/>
      <w:r w:rsidR="00CA7D61" w:rsidRPr="009A2503">
        <w:rPr>
          <w:rFonts w:cstheme="minorHAnsi"/>
          <w:color w:val="000000" w:themeColor="text1"/>
          <w:sz w:val="24"/>
          <w:szCs w:val="24"/>
        </w:rPr>
        <w:t>)</w:t>
      </w:r>
    </w:p>
    <w:p w:rsidR="00CA7D61" w:rsidRPr="009A2503" w:rsidRDefault="00CA7D61" w:rsidP="009A2503">
      <w:pPr>
        <w:pStyle w:val="Odlomakpopisa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9A2503">
        <w:rPr>
          <w:rFonts w:cstheme="minorHAnsi"/>
          <w:color w:val="000000" w:themeColor="text1"/>
          <w:sz w:val="24"/>
          <w:szCs w:val="24"/>
        </w:rPr>
        <w:t>Pravilnik o postupku zaduživanja te davanja jamstava i suglasnosti jedinica lokalne i područne (regionalne) samouprave („Narodne novine, broj 55/09 i 139/10)</w:t>
      </w:r>
    </w:p>
    <w:p w:rsidR="00CA7D61" w:rsidRPr="009A2503" w:rsidRDefault="00CA7D61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CA7D61" w:rsidRPr="009A2503" w:rsidRDefault="00CA7D61" w:rsidP="00CA7D61">
      <w:pPr>
        <w:spacing w:after="0" w:line="240" w:lineRule="auto"/>
        <w:jc w:val="both"/>
        <w:rPr>
          <w:rFonts w:cstheme="minorHAnsi"/>
          <w:b/>
          <w:color w:val="232323"/>
          <w:sz w:val="24"/>
          <w:szCs w:val="24"/>
          <w:shd w:val="clear" w:color="auto" w:fill="FFFFFF"/>
        </w:rPr>
      </w:pP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Jedinica lokalne i područne (regionalne) samouprave može se zaduživati uzimanjem kredita, zajmova i izdavanjem vrijednosnih papira. Ukupna </w:t>
      </w:r>
      <w:r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godišnja obveza</w:t>
      </w:r>
      <w:r w:rsidRPr="009A2503">
        <w:rPr>
          <w:rStyle w:val="Naglaeno"/>
          <w:rFonts w:cstheme="minorHAnsi"/>
          <w:color w:val="232323"/>
          <w:sz w:val="24"/>
          <w:szCs w:val="24"/>
          <w:shd w:val="clear" w:color="auto" w:fill="FFFFFF"/>
        </w:rPr>
        <w:t> 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jedinice lokalne i područne (regionalne) samouprave može iznositi </w:t>
      </w:r>
      <w:r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najviše do 20 %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 ostvarenih </w:t>
      </w:r>
      <w:r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 xml:space="preserve">prihoda 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u godini koja prethodi godini u kojoj se zadužuje. Navedeno ograničenje </w:t>
      </w:r>
      <w:r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ne odnosi se na projekte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 koji se sufinanciraju iz </w:t>
      </w:r>
      <w:proofErr w:type="spellStart"/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pretpristupnih</w:t>
      </w:r>
      <w:proofErr w:type="spellEnd"/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programa i fondova </w:t>
      </w:r>
      <w:r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Europske unije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 i na projekte iz područja unapređenja </w:t>
      </w:r>
      <w:r w:rsidRPr="009A2503">
        <w:rPr>
          <w:rStyle w:val="Naglaeno"/>
          <w:rFonts w:cstheme="minorHAnsi"/>
          <w:b w:val="0"/>
          <w:color w:val="232323"/>
          <w:sz w:val="24"/>
          <w:szCs w:val="24"/>
          <w:shd w:val="clear" w:color="auto" w:fill="FFFFFF"/>
        </w:rPr>
        <w:t>energetske učinkovitosti</w:t>
      </w:r>
      <w:r w:rsidRPr="009A2503">
        <w:rPr>
          <w:rFonts w:cstheme="minorHAnsi"/>
          <w:b/>
          <w:color w:val="232323"/>
          <w:sz w:val="24"/>
          <w:szCs w:val="24"/>
          <w:shd w:val="clear" w:color="auto" w:fill="FFFFFF"/>
        </w:rPr>
        <w:t>.</w:t>
      </w:r>
    </w:p>
    <w:p w:rsidR="00CA7D61" w:rsidRPr="009A2503" w:rsidRDefault="00CA7D61" w:rsidP="00CA7D61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Sukladno Pravilniku o polugodišnjem i godišnjem izvještaju o izvršenju proračuna („Narodne novine“, broj</w:t>
      </w:r>
      <w:r w:rsidR="00CD1045">
        <w:rPr>
          <w:rFonts w:cstheme="minorHAnsi"/>
          <w:color w:val="232323"/>
          <w:sz w:val="24"/>
          <w:szCs w:val="24"/>
          <w:shd w:val="clear" w:color="auto" w:fill="FFFFFF"/>
        </w:rPr>
        <w:t xml:space="preserve"> 24/13, </w:t>
      </w:r>
      <w:r w:rsidR="00980CCB" w:rsidRPr="009A2503">
        <w:rPr>
          <w:rFonts w:cstheme="minorHAnsi"/>
          <w:color w:val="232323"/>
          <w:sz w:val="24"/>
          <w:szCs w:val="24"/>
          <w:shd w:val="clear" w:color="auto" w:fill="FFFFFF"/>
        </w:rPr>
        <w:t>102/17</w:t>
      </w:r>
      <w:r w:rsidR="00CD1045">
        <w:rPr>
          <w:rFonts w:cstheme="minorHAnsi"/>
          <w:color w:val="232323"/>
          <w:sz w:val="24"/>
          <w:szCs w:val="24"/>
          <w:shd w:val="clear" w:color="auto" w:fill="FFFFFF"/>
        </w:rPr>
        <w:t xml:space="preserve"> i 01/20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>), izvještaj o zaduživanju na domaćem i stranom tržištu novca i kapitala daje pregled zaduživanja u izvještajnom razdoblju po instrumentima zaduženja, valutnoj, kamatnoj i ročnoj strukturi.</w:t>
      </w:r>
    </w:p>
    <w:p w:rsidR="00B631BA" w:rsidRDefault="00B631BA" w:rsidP="00CA7D61">
      <w:pPr>
        <w:spacing w:after="0" w:line="240" w:lineRule="auto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Grad Novska je u izvještajnom razdoblju od </w:t>
      </w:r>
      <w:r w:rsidR="000A2B22">
        <w:rPr>
          <w:rFonts w:cstheme="minorHAnsi"/>
          <w:color w:val="232323"/>
          <w:sz w:val="24"/>
          <w:szCs w:val="24"/>
          <w:shd w:val="clear" w:color="auto" w:fill="FFFFFF"/>
        </w:rPr>
        <w:t>0</w:t>
      </w:r>
      <w:r w:rsidR="00FF5628">
        <w:rPr>
          <w:rFonts w:cstheme="minorHAnsi"/>
          <w:color w:val="232323"/>
          <w:sz w:val="24"/>
          <w:szCs w:val="24"/>
          <w:shd w:val="clear" w:color="auto" w:fill="FFFFFF"/>
        </w:rPr>
        <w:t>1.01</w:t>
      </w:r>
      <w:r w:rsidR="00CD1045">
        <w:rPr>
          <w:rFonts w:cstheme="minorHAnsi"/>
          <w:color w:val="232323"/>
          <w:sz w:val="24"/>
          <w:szCs w:val="24"/>
          <w:shd w:val="clear" w:color="auto" w:fill="FFFFFF"/>
        </w:rPr>
        <w:t>. do 31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.</w:t>
      </w:r>
      <w:r w:rsidR="00CD1045">
        <w:rPr>
          <w:rFonts w:cstheme="minorHAnsi"/>
          <w:color w:val="232323"/>
          <w:sz w:val="24"/>
          <w:szCs w:val="24"/>
          <w:shd w:val="clear" w:color="auto" w:fill="FFFFFF"/>
        </w:rPr>
        <w:t>12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>.2019. godine</w:t>
      </w:r>
      <w:r w:rsidR="00980CCB"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="001C39F3"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imao </w:t>
      </w:r>
      <w:r w:rsidR="00980CCB" w:rsidRPr="009A2503">
        <w:rPr>
          <w:rFonts w:cstheme="minorHAnsi"/>
          <w:color w:val="232323"/>
          <w:sz w:val="24"/>
          <w:szCs w:val="24"/>
          <w:shd w:val="clear" w:color="auto" w:fill="FFFFFF"/>
        </w:rPr>
        <w:t>u otplati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jedan dugoročni tuzemni kredit i dobivenu suglasnost Gradskog vijeća za zaduživanje dugoročnim tuzemnim kreditom za financiranje kapitalnog projekta „</w:t>
      </w:r>
      <w:proofErr w:type="spellStart"/>
      <w:r>
        <w:rPr>
          <w:rFonts w:cstheme="minorHAnsi"/>
          <w:color w:val="232323"/>
          <w:sz w:val="24"/>
          <w:szCs w:val="24"/>
          <w:shd w:val="clear" w:color="auto" w:fill="FFFFFF"/>
        </w:rPr>
        <w:t>Klaster</w:t>
      </w:r>
      <w:proofErr w:type="spellEnd"/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kulture na temeljima kulturne baštine povijesne jezgre Novske“. </w:t>
      </w:r>
    </w:p>
    <w:p w:rsidR="0024301A" w:rsidRPr="0024301A" w:rsidRDefault="00B631BA" w:rsidP="0024301A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232323"/>
          <w:sz w:val="24"/>
          <w:szCs w:val="24"/>
          <w:shd w:val="clear" w:color="auto" w:fill="FFFFFF"/>
        </w:rPr>
        <w:t>Postojeći dugoročni tuzemni kredit u otplati odnosi se na kreditno zaduženje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Grada Novske kod Privredne banke Zagreb d.d. za financiranje kapitalnih projekata izgradnje spojne ceste – obilaznica D 47 – Tina Ujevića i izgradnje pristupne infrastrukture do Poduzetničke zone Novska na iznos od 11.000.000,00 kn s valutnom klauzulom u eurima, rok otplate deset godina bez počeka.</w:t>
      </w:r>
      <w:r>
        <w:rPr>
          <w:rFonts w:cstheme="minorHAnsi"/>
          <w:color w:val="232323"/>
          <w:sz w:val="24"/>
          <w:szCs w:val="24"/>
          <w:shd w:val="clear" w:color="auto" w:fill="FFFFFF"/>
        </w:rPr>
        <w:t xml:space="preserve"> Navedeno kreditno zaduženje odobrilo je Gradsko vijeće Grada Novske </w:t>
      </w:r>
      <w:r w:rsidRPr="009A2503">
        <w:rPr>
          <w:rFonts w:cstheme="minorHAnsi"/>
          <w:color w:val="232323"/>
          <w:sz w:val="24"/>
          <w:szCs w:val="24"/>
          <w:shd w:val="clear" w:color="auto" w:fill="FFFFFF"/>
        </w:rPr>
        <w:t xml:space="preserve"> 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Na iskorišteni iznos kredita (1.427.965,36 EUR) obračunava se redovna godišnja fiksna kamatna stopa u visini 3,69 %. Naplata glavnice i redovne kamate vrši se tromjesečno na zadnji dan svakog t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romjesečja, i to počevši od 31.12.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2013. godine koji je definiran kao datum prijenosa kredita u otplatu 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Dodatkom II Ugovora od 10.09.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2013. godine. Prema otplatnom planu dugoročnog tuzemnog kredita otplata kredita započela je s 1.1.2014. i trajat će do 31.12.2023. godine. Navedeno kreditno zaduženje odobrilo je Gradsko vijeće Grada Novske na sjednici održanoj 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05.07.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2011. godine („Službeni vjesnik“, broj 29/11).</w:t>
      </w:r>
    </w:p>
    <w:p w:rsidR="00C06E83" w:rsidRDefault="00B631BA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Na 20. sjednici održanoj 30.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05.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2019. godine Gradsko vijeće Grada Novske donijelo je Odluku o kreditnom zaduženju</w:t>
      </w:r>
      <w:r w:rsidR="00276A94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(„Službeni vjesnik“,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broj 30/19)</w:t>
      </w:r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podizanjem dugoročnog tuzemnog kredita za financiranje kapitalnog projekta „</w:t>
      </w:r>
      <w:proofErr w:type="spellStart"/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Klaster</w:t>
      </w:r>
      <w:proofErr w:type="spellEnd"/>
      <w:r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kulture na temeljima kulturne baštine povijesne jezgre Novske“</w:t>
      </w:r>
      <w:r w:rsidR="00276A94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kod Hrvatske poštanske banke d.d. na iznos od 25.000.000,00 kn u</w:t>
      </w:r>
      <w:r w:rsidR="0024301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z fiksnu nominalnu kamatnu stopu od 1,50 % na rok otplate 10 godina bez počeka u jednakim mjesečnim ratama </w:t>
      </w:r>
      <w:r w:rsidR="0024301A" w:rsidRPr="0024301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i jednokratnu naknadu za obradu zahtjeva u visini 0,30 % na iznos odobrenog kredita.</w:t>
      </w:r>
      <w:r w:rsidR="0024301A" w:rsidRP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Kredit će se koristiti sukcesivno na temelju dokumentacije od strane korisnika kredita, i to isplatom na račun dobavljača. </w:t>
      </w:r>
      <w:r w:rsid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Vlada Republike Hrvatske je na 176. sjednici održanoj 29.</w:t>
      </w:r>
      <w:r w:rsidR="000A2B22">
        <w:rPr>
          <w:rFonts w:cstheme="minorHAnsi"/>
          <w:color w:val="000000" w:themeColor="text1"/>
          <w:sz w:val="24"/>
          <w:szCs w:val="24"/>
          <w:shd w:val="clear" w:color="auto" w:fill="FFFFFF"/>
        </w:rPr>
        <w:t>0</w:t>
      </w:r>
      <w:r w:rsidR="0024301A">
        <w:rPr>
          <w:rFonts w:cstheme="minorHAnsi"/>
          <w:color w:val="000000" w:themeColor="text1"/>
          <w:sz w:val="24"/>
          <w:szCs w:val="24"/>
          <w:shd w:val="clear" w:color="auto" w:fill="FFFFFF"/>
        </w:rPr>
        <w:t>8.2019. godine donijela Odluku o davanju suglasnosti Gradu za zaduženje kod Hrvatske poštanske banke d.d., Zagreb.</w:t>
      </w:r>
    </w:p>
    <w:p w:rsidR="00C06E83" w:rsidRPr="0024301A" w:rsidRDefault="00C06E83" w:rsidP="00CA7D61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Na 22. sjednici održanoj 23. kolovoza 2019. godine Gradsko vijeće Grada Novske donijelo je Odluku u kratkoročnom kreditnom zaduženju Grada Novske („Službeni vjesnik“, broj 53/19), kod kreditora Privredne banke Zagreb d.d. s namjenom dopuštenog prekoračenja po transakcijskom računu do iznosa od 7.000.000,00 kn. Na iskorišteni iznos kredita, počevši od prvog dana korištenja kredita obračunava se redovna kamata po stopi u visini prinosa na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 xml:space="preserve">trezorske zapise Ministarstva financija RH na 182 dana uvećano za kamatnu maržu od 1,20 %, godišnje, promjenjiva. Obračun i naplata kamate vrši se mjesečno na zadnji dan svakog mjeseca, odnosno o roku dospijeća kredita. Naknada za obradu zahtjeva </w:t>
      </w:r>
      <w:r w:rsidR="007004E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iznosi </w:t>
      </w:r>
      <w:bookmarkStart w:id="0" w:name="_GoBack"/>
      <w:bookmarkEnd w:id="0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0,30 % od iznosa kredita, jednokratno unaprijed.</w:t>
      </w:r>
      <w:r w:rsidR="00576B4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Rok </w:t>
      </w:r>
      <w:r w:rsidR="00D161BC">
        <w:rPr>
          <w:rFonts w:cstheme="minorHAnsi"/>
          <w:color w:val="000000" w:themeColor="text1"/>
          <w:sz w:val="24"/>
          <w:szCs w:val="24"/>
          <w:shd w:val="clear" w:color="auto" w:fill="FFFFFF"/>
        </w:rPr>
        <w:t>otplate ovog okvirnog kredita je do 03.09.2020. godine. Iskorišteni iznos dopuštenog prekoračenja po transakcijskom računu Grada Novske na dan 31.12.2019. godine iznosio je 4.626.626,05 kn, redovne kamate (dospjele i nedospjele) na iskorišteno prekoračenje obračunate su u iznosu od 11.928,13 kn, dok je jednokratna naknada za obradu kredita iznosila 21.000,00 kn sukladno Ugovoru o kratkoročnom kreditu – dopušteno prekoračenje po transakcijskom računu sklopljenom dana 2. rujna 2019. godine između Privredne banke Zagreb d.d. i Grada Novske.</w:t>
      </w:r>
    </w:p>
    <w:sectPr w:rsidR="00C06E83" w:rsidRPr="002430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95" w:rsidRDefault="00FE4295" w:rsidP="002B20B3">
      <w:pPr>
        <w:spacing w:after="0" w:line="240" w:lineRule="auto"/>
      </w:pPr>
      <w:r>
        <w:separator/>
      </w:r>
    </w:p>
  </w:endnote>
  <w:endnote w:type="continuationSeparator" w:id="0">
    <w:p w:rsidR="00FE4295" w:rsidRDefault="00FE4295" w:rsidP="002B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214701"/>
      <w:docPartObj>
        <w:docPartGallery w:val="Page Numbers (Bottom of Page)"/>
        <w:docPartUnique/>
      </w:docPartObj>
    </w:sdtPr>
    <w:sdtEndPr/>
    <w:sdtContent>
      <w:p w:rsidR="002B20B3" w:rsidRDefault="002B20B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E3">
          <w:rPr>
            <w:noProof/>
          </w:rPr>
          <w:t>2</w:t>
        </w:r>
        <w:r>
          <w:fldChar w:fldCharType="end"/>
        </w:r>
      </w:p>
    </w:sdtContent>
  </w:sdt>
  <w:p w:rsidR="002B20B3" w:rsidRDefault="002B20B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95" w:rsidRDefault="00FE4295" w:rsidP="002B20B3">
      <w:pPr>
        <w:spacing w:after="0" w:line="240" w:lineRule="auto"/>
      </w:pPr>
      <w:r>
        <w:separator/>
      </w:r>
    </w:p>
  </w:footnote>
  <w:footnote w:type="continuationSeparator" w:id="0">
    <w:p w:rsidR="00FE4295" w:rsidRDefault="00FE4295" w:rsidP="002B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A9A8292C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0903F8"/>
    <w:rsid w:val="000A2B22"/>
    <w:rsid w:val="001C39F3"/>
    <w:rsid w:val="0024301A"/>
    <w:rsid w:val="00276A94"/>
    <w:rsid w:val="002B20B3"/>
    <w:rsid w:val="004A1FF9"/>
    <w:rsid w:val="004B7E8E"/>
    <w:rsid w:val="00547139"/>
    <w:rsid w:val="00576B4E"/>
    <w:rsid w:val="005A26CB"/>
    <w:rsid w:val="007004E3"/>
    <w:rsid w:val="007B565C"/>
    <w:rsid w:val="00973823"/>
    <w:rsid w:val="00980CCB"/>
    <w:rsid w:val="009A2503"/>
    <w:rsid w:val="00A0634B"/>
    <w:rsid w:val="00B631BA"/>
    <w:rsid w:val="00B6455A"/>
    <w:rsid w:val="00BF3B7B"/>
    <w:rsid w:val="00C05929"/>
    <w:rsid w:val="00C06E83"/>
    <w:rsid w:val="00CA7D61"/>
    <w:rsid w:val="00CD1045"/>
    <w:rsid w:val="00D161BC"/>
    <w:rsid w:val="00EF5D7A"/>
    <w:rsid w:val="00FE4295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20B3"/>
  </w:style>
  <w:style w:type="paragraph" w:styleId="Podnoje">
    <w:name w:val="footer"/>
    <w:basedOn w:val="Normal"/>
    <w:link w:val="Podno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20B3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24301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43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20B3"/>
  </w:style>
  <w:style w:type="paragraph" w:styleId="Podnoje">
    <w:name w:val="footer"/>
    <w:basedOn w:val="Normal"/>
    <w:link w:val="PodnojeChar"/>
    <w:uiPriority w:val="99"/>
    <w:unhideWhenUsed/>
    <w:rsid w:val="002B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20B3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24301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4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9</cp:revision>
  <cp:lastPrinted>2019-10-03T09:03:00Z</cp:lastPrinted>
  <dcterms:created xsi:type="dcterms:W3CDTF">2019-10-01T14:44:00Z</dcterms:created>
  <dcterms:modified xsi:type="dcterms:W3CDTF">2020-05-12T08:11:00Z</dcterms:modified>
</cp:coreProperties>
</file>