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Pr="000903F8" w:rsidRDefault="005A26CB" w:rsidP="009A2503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903F8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0903F8" w:rsidRPr="009A2503" w:rsidRDefault="000903F8" w:rsidP="009A2503">
      <w:pPr>
        <w:pStyle w:val="Odlomakpopis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5A26CB" w:rsidRPr="009A2503" w:rsidRDefault="005A26CB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9A2503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9A250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9A2503">
        <w:rPr>
          <w:rFonts w:cstheme="minorHAnsi"/>
          <w:color w:val="000000" w:themeColor="text1"/>
          <w:sz w:val="24"/>
          <w:szCs w:val="24"/>
        </w:rPr>
        <w:t>)</w:t>
      </w:r>
    </w:p>
    <w:p w:rsidR="00CA7D61" w:rsidRDefault="00CA7D61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8436E8" w:rsidRDefault="008436E8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Zakon o izvršavanju Državnog proračuna Republike Hrvatske za 2020. godinu („Narodne novine“, broj 117/19, 32/20, 42/20, 58/20 i 124/20)</w:t>
      </w:r>
    </w:p>
    <w:p w:rsidR="008436E8" w:rsidRPr="009A2503" w:rsidRDefault="008436E8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Naputak o načinu isplate beskamatnog zajma jedinicama lokalne i područne (regionalne) samouprave, Hrvatskom zavodu za mirovinsko osiguranje </w:t>
      </w:r>
      <w:r w:rsidR="003F4431">
        <w:rPr>
          <w:rFonts w:cstheme="minorHAnsi"/>
          <w:color w:val="000000" w:themeColor="text1"/>
          <w:sz w:val="24"/>
          <w:szCs w:val="24"/>
        </w:rPr>
        <w:t>i Hrvatskom zavodu za zdravstveno osiguranje („Narodne novine“, broj 46/20, 130/20 i 5/21)</w:t>
      </w: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CA7D61" w:rsidRPr="004215EF" w:rsidRDefault="008D2AD5" w:rsidP="00CA7D61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Jedinica lokalne i područne (regionalne) samouprave može se zaduživati uzimanjem kredita, zajmova i izdavanjem vrijednosnih papira. Ukupna </w:t>
      </w:r>
      <w:r w:rsidR="00CA7D61" w:rsidRPr="004215EF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godišnja obveza</w:t>
      </w:r>
      <w:r w:rsidR="00CA7D61" w:rsidRPr="004215EF">
        <w:rPr>
          <w:rStyle w:val="Naglaeno"/>
          <w:rFonts w:cstheme="minorHAnsi"/>
          <w:color w:val="232323"/>
          <w:sz w:val="24"/>
          <w:szCs w:val="24"/>
          <w:shd w:val="clear" w:color="auto" w:fill="FFFFFF"/>
        </w:rPr>
        <w:t> </w:t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jedinice lokalne i područne (regionalne) samouprave može iznositi </w:t>
      </w:r>
      <w:r w:rsidR="00CA7D61" w:rsidRPr="004215EF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najviše do 20 %</w:t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 ostvarenih </w:t>
      </w:r>
      <w:r w:rsidR="00CA7D61" w:rsidRPr="004215EF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 xml:space="preserve">prihoda </w:t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u godini koja prethodi godini u kojoj se zadužuje. Navedeno ograničenje </w:t>
      </w:r>
      <w:r w:rsidR="00CA7D61" w:rsidRPr="004215EF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ne odnosi se na projekte</w:t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 xml:space="preserve"> koji se sufinanciraju iz </w:t>
      </w:r>
      <w:proofErr w:type="spellStart"/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pretpristupnih</w:t>
      </w:r>
      <w:proofErr w:type="spellEnd"/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 xml:space="preserve"> programa i fondova </w:t>
      </w:r>
      <w:r w:rsidR="00CA7D61" w:rsidRPr="004215EF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Europske unije</w:t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 i na projekte iz područja unapređenja </w:t>
      </w:r>
      <w:r w:rsidR="00CA7D61" w:rsidRPr="004215EF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energetske učinkovitosti</w:t>
      </w:r>
      <w:r w:rsidR="00CA7D61" w:rsidRPr="004215EF">
        <w:rPr>
          <w:rFonts w:cstheme="minorHAnsi"/>
          <w:b/>
          <w:color w:val="232323"/>
          <w:sz w:val="24"/>
          <w:szCs w:val="24"/>
          <w:shd w:val="clear" w:color="auto" w:fill="FFFFFF"/>
        </w:rPr>
        <w:t>.</w:t>
      </w:r>
    </w:p>
    <w:p w:rsidR="00E75BA1" w:rsidRPr="004215EF" w:rsidRDefault="008D2AD5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4215EF"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CD1045" w:rsidRPr="004215EF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4215EF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CD1045" w:rsidRPr="004215EF">
        <w:rPr>
          <w:rFonts w:cstheme="minorHAnsi"/>
          <w:color w:val="232323"/>
          <w:sz w:val="24"/>
          <w:szCs w:val="24"/>
          <w:shd w:val="clear" w:color="auto" w:fill="FFFFFF"/>
        </w:rPr>
        <w:t xml:space="preserve"> i 01/20</w:t>
      </w:r>
      <w:r w:rsidR="00CA7D61" w:rsidRPr="004215EF">
        <w:rPr>
          <w:rFonts w:cstheme="minorHAnsi"/>
          <w:color w:val="232323"/>
          <w:sz w:val="24"/>
          <w:szCs w:val="24"/>
          <w:shd w:val="clear" w:color="auto" w:fill="FFFFFF"/>
        </w:rPr>
        <w:t>), izvještaj o zaduživanju na domaćem i stranom tržištu novca i kapitala daje pregled zaduživanja u izvještajnom razdoblju po instrumentima zaduženja, valutnoj, kamatnoj i ročnoj strukturi.</w:t>
      </w:r>
    </w:p>
    <w:p w:rsidR="0024301A" w:rsidRPr="0024301A" w:rsidRDefault="008D2AD5" w:rsidP="0024301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215EF"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B631BA" w:rsidRPr="004215EF">
        <w:rPr>
          <w:rFonts w:cstheme="minorHAnsi"/>
          <w:color w:val="232323"/>
          <w:sz w:val="24"/>
          <w:szCs w:val="24"/>
          <w:shd w:val="clear" w:color="auto" w:fill="FFFFFF"/>
        </w:rPr>
        <w:t>Postojeći dugoročni tuzemni kredit u otplati odnosi se na kreditno zaduženje Grada Novske kod Privredne banke Zagreb d.d. za financiranje kapitalnih projekata izgradnje</w:t>
      </w:r>
      <w:r w:rsidR="00B631BA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spojne ceste – obilaznica D 47 – Tina Ujevića i izgradnje pristupne infrastrukture do Poduzetničke zone Novska na iznos od 11.000.000,00 kn</w:t>
      </w:r>
      <w:r w:rsidR="00C90FF0">
        <w:rPr>
          <w:rFonts w:cstheme="minorHAnsi"/>
          <w:color w:val="232323"/>
          <w:sz w:val="24"/>
          <w:szCs w:val="24"/>
          <w:shd w:val="clear" w:color="auto" w:fill="FFFFFF"/>
        </w:rPr>
        <w:t xml:space="preserve"> (Broj ugovora/partije: 5110153323)</w:t>
      </w:r>
      <w:r w:rsidR="00B631BA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s valutnom klauzulom u eurima, rok otplate deset godina bez počeka.</w:t>
      </w:r>
      <w:r w:rsidR="00B631BA">
        <w:rPr>
          <w:rFonts w:cstheme="minorHAnsi"/>
          <w:color w:val="232323"/>
          <w:sz w:val="24"/>
          <w:szCs w:val="24"/>
          <w:shd w:val="clear" w:color="auto" w:fill="FFFFFF"/>
        </w:rPr>
        <w:t xml:space="preserve"> Navedeno kreditno zaduženje odobrilo je Gradsko vijeće Grada Novske </w:t>
      </w:r>
      <w:r w:rsidR="00B631BA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iskorišteni iznos kredita (1.427.965,36 EUR) obračunava se redovna godišnja fiksna kamatna stopa u visini 3,69 %. Naplata glavnice i redovne kamate vrši se tromjesečno na zadnji dan svakog t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romjesečja, i to počevši od 31.12.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 koji je definiran kao datum prijenosa kredita u otplatu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Dodatkom II Ugovora od 10.09.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godine. Prema otplatnom planu dugoročnog tuzemnog kredita otplata kredita započela je s 1.1.2014. i trajat će do 31.12.2023. godine. Navedeno kreditno zaduženje odobrilo je Gradsko vijeće Grada Novske na sjednici održanoj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05.07.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2011. godine (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>„Službeni vjesnik“, broj 29/11).</w:t>
      </w:r>
      <w:r w:rsidR="006D6B4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167A56" w:rsidRDefault="008D2AD5" w:rsidP="00167A5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20. sjednici održanoj 30.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2019. godine Gradsko vijeće Grada Novske donijelo je Odluku o kreditnom zaduženju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(„Službeni vjesnik“,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broj 30/19)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podizanjem dugoročnog tuzemnog kredita za financiranje kapitalnog projekta „</w:t>
      </w:r>
      <w:proofErr w:type="spellStart"/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Klaster</w:t>
      </w:r>
      <w:proofErr w:type="spellEnd"/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kulture na temeljima kulturne baštine povijesne jezgre Novske“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kod Hrvatske poštanske banke d.d. na iznos od 25.000.000,00 kn u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fiksnu nominalnu kamatnu stopu od 1,50 % na rok otplate 10 godina bez počeka u jednakim mjesečnim ratama </w:t>
      </w:r>
      <w:r w:rsidR="0024301A" w:rsidRPr="0024301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 jednokratnu naknadu za obradu zahtjeva u visini 0,30 % na iznos odobrenog kredita.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Kredit će se koristiti sukcesivno na temelju dokumentacije od strane korisnika kredita, i to isplatom na račun dobavljača. 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Vlada Republike Hrvatske je na 176. sjednici održanoj 29.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8.2019. godine donijela Odluku o davanju suglasnosti Gradu za zaduženje kod Hrvatske poštanske banke d.d., Zagreb.</w:t>
      </w:r>
      <w:r w:rsidR="00167A5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 izvještajno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>m razdoblju od 1. siječnja do 30. lipnja 2021</w:t>
      </w:r>
      <w:r w:rsidR="00167A56">
        <w:rPr>
          <w:rFonts w:cstheme="minorHAnsi"/>
          <w:color w:val="000000" w:themeColor="text1"/>
          <w:sz w:val="24"/>
          <w:szCs w:val="24"/>
          <w:shd w:val="clear" w:color="auto" w:fill="FFFFFF"/>
        </w:rPr>
        <w:t>. godine nije bilo korištenja kreditnih sredstava za navedeni kapitalni projekt.</w:t>
      </w:r>
    </w:p>
    <w:p w:rsidR="00E75BA1" w:rsidRDefault="00E75BA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C06E83" w:rsidRDefault="007C0C02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ab/>
        <w:t xml:space="preserve">Beskamatni zajam jedinicama lokalne i područne (regionalne) samouprave omogućen je zbog potrebe za ublažavanje ekonomskih posljedica uzrokovanih epidemijom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koronavirusa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zadržavanja održivosti financiranja na cijelom području Republike Hrvatske. Naime, na prihode proračuna jedinica lokalne i područne (regionalne) samouprave najznačajniji utjecaj imala je mjera iz seta ekonomskih mjera Vlade RH za pomoć gospodarstvu, kojom je gospodarstvenicima omogućena odgoda plaćanja i/ili obročna otplata te oslobođenje od plaćanja poreza i prireza na dohodak, sukladno posebnom propisu kojim se uređuje opći porezni postupak. </w:t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>Izmjenama i dopunama Zakona o izvršavanju Državnog proračuna Republike Hrvatske za 2020. godinu iz travnja 2020. godine utvrđena je pravna osnova za isplatu sredstava beskamatnog zajma, radi premošćivanja situacije nastale zbog različite dinamike priljeva sredstava i dospij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eća obveza tijekom razdoblja </w:t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trajanja epidemije </w:t>
      </w:r>
      <w:proofErr w:type="spellStart"/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>koronavirusa</w:t>
      </w:r>
      <w:proofErr w:type="spellEnd"/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>, jedinicama lokalne i područne (regionalne) samouprave, Hrvatskom zavodu za zdravstveno osiguranje i Hrvatskom zavodu za mirovinsko osiguranje, a najviše do visine poreza na dohodak, prireza i doprinosa, čijeg je plaćanja porezni obveznik oslobođen, odnosno čije je plaćanje odgođeno i/ili je odobrena obročna otplata, kao i do visine izvršenog povrata preplaćenog poreza na dohodak u provedbi posebnog postupka. Grad Novska je podnio Zahtjev za isplatu sredstava beskamatnog zajma Ministarstvu financija RH</w:t>
      </w:r>
      <w:r w:rsidR="007D6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te je po osnovi beskamatnog zajma Gradu Novska isplaćeno 3.900.931,51 kn. Na dan 31. prosinca 2020. godine 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>obveza za beskamatni zajam po osnovi poreza na dohodak i prireza porezu na dohodak čije je plaćanje odgođeno i/ili je odobrena obročna otplata iznosi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>la je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891.938,65 kn, a obveza za beskamatni zajam do visine izvršenog povrata po godišnjem obračunu poreza na dohodak 1.927.962,36 kn. </w:t>
      </w:r>
    </w:p>
    <w:p w:rsidR="0020169E" w:rsidRDefault="007D601A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Povrat dijela sredstava isplaćenog beskamatnog zajma na ime poreza na dohodak, prireza porezu na dohodak i doprinosa čije je plaćanje odgođeno i/ili je odobrena obročna otplata, vršit će se na račun državnog proračuna ustezanjem budućih uplata poreznog obveznika na ime odgođene/reprogramirane obveze. JLP(R)S neće primati te uplate, niti će otplaćivati anuitete, već će obustave provoditi Financijska agencija d.d. 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 ovoj osnovi u 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>razdoblju od 1. siječnja do 30. lipnja 2021. godine otplaćeno je 8.411,23 kn, te stanje beskamatnog zajma po ovoj osnovi na dan 30. lipnja 2021. godine iznosi 883.527,42 kn.</w:t>
      </w:r>
    </w:p>
    <w:p w:rsidR="001227B2" w:rsidRDefault="0020169E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Povrat dijela isplaćenog beskamatnog zajma </w:t>
      </w:r>
      <w:r w:rsidR="007D601A">
        <w:rPr>
          <w:rFonts w:cstheme="minorHAnsi"/>
          <w:color w:val="000000" w:themeColor="text1"/>
          <w:sz w:val="24"/>
          <w:szCs w:val="24"/>
          <w:shd w:val="clear" w:color="auto" w:fill="FFFFFF"/>
        </w:rPr>
        <w:t>u visini povrata poreza na dohodak temeljem utvrđenog godišnjeg obračuna, JLP(R)S je u obvezi izvršiti na račun državnog proračuna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najduže u roku od godinu dana. U izvještajnom polugodišnjem razdoblju od 1. siječnja do 30. lipnja 2021. godine po ovoj je osnovi otplaćeno 1.050.000,00 kn, te stanje obveza beskamatnog zajma </w:t>
      </w:r>
      <w:r w:rsidR="001F2041">
        <w:rPr>
          <w:rFonts w:cstheme="minorHAnsi"/>
          <w:color w:val="000000" w:themeColor="text1"/>
          <w:sz w:val="24"/>
          <w:szCs w:val="24"/>
          <w:shd w:val="clear" w:color="auto" w:fill="FFFFFF"/>
        </w:rPr>
        <w:t>u visini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povrat</w:t>
      </w:r>
      <w:r w:rsidR="001F2041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="00544B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poreza na dohodak temeljem utvrđenog godišnjeg obračuna na dan 30. lipnja 2021. godine iznosi 877.962,36 kn.</w:t>
      </w:r>
    </w:p>
    <w:p w:rsidR="001227B2" w:rsidRDefault="001227B2" w:rsidP="001227B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  <w:t>Na 33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. sjed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nici održanoj 12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11.2020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. godine Gradsko vijeće Grada Novske donijelo je Odluku o kreditnom zaduženju („Službeni vjesnik“,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broj 74/20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podizanjem dugoročnog tuzemnog kredita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za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kupnju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poslovne zgrade u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Novskoj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kod Hrvatske poštanske banke d.d., na iznos glavnice do 7.800.000,00 kn, uz fiksnu nominalnu kamatnu stopu od 1,35 % na rok otplate deset godina u jednakim mjesečnim ratama s počekom od 12 mjeseci o</w:t>
      </w:r>
      <w:r w:rsidR="001F20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 korištenja kredita. Kredit će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 koristiti jednokratno isplatom na račun prodavatelja. 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>Jednokratna naknada za obradu zahtjeva iznosi 0,30 % od iznosa odobrenog kredita.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Vlada Republike Hrvatske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na sjednici održanoj 30.12.2020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 godine donijela Odluku o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davanju suglasnosti Gradu za zaduženje kod Hrvatske poštanske banke d.d., Zagreb.</w:t>
      </w:r>
      <w:r w:rsidR="008F368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Kredit je realiziran </w:t>
      </w:r>
      <w:r w:rsidR="00975DC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krajem ožujka </w:t>
      </w:r>
      <w:r w:rsidR="008F368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2021. </w:t>
      </w:r>
      <w:r w:rsidR="00975DC8">
        <w:rPr>
          <w:rFonts w:cstheme="minorHAnsi"/>
          <w:color w:val="000000" w:themeColor="text1"/>
          <w:sz w:val="24"/>
          <w:szCs w:val="24"/>
          <w:shd w:val="clear" w:color="auto" w:fill="FFFFFF"/>
        </w:rPr>
        <w:t>godine</w:t>
      </w:r>
      <w:r w:rsidR="00F122B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 iznosu od 7.791.400,00 kn</w:t>
      </w:r>
      <w:r w:rsidR="00975DC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U izvještajnom polugodišnjem izvještajnom razdoblju podmirena je jednokratna naknada za obradu kredita u iznosu od 23.400,00 kn te </w:t>
      </w:r>
      <w:proofErr w:type="spellStart"/>
      <w:r w:rsidR="00975DC8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5571A0">
        <w:rPr>
          <w:rFonts w:cstheme="minorHAnsi"/>
          <w:color w:val="000000" w:themeColor="text1"/>
          <w:sz w:val="24"/>
          <w:szCs w:val="24"/>
          <w:shd w:val="clear" w:color="auto" w:fill="FFFFFF"/>
        </w:rPr>
        <w:t>nterkalarne</w:t>
      </w:r>
      <w:proofErr w:type="spellEnd"/>
      <w:r w:rsidR="00975DC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kamate za prvo i drugo tromjesečje 2021. godine u iznosu od </w:t>
      </w:r>
      <w:r w:rsidR="00C15F5D">
        <w:rPr>
          <w:rFonts w:cstheme="minorHAnsi"/>
          <w:color w:val="000000" w:themeColor="text1"/>
          <w:sz w:val="24"/>
          <w:szCs w:val="24"/>
          <w:shd w:val="clear" w:color="auto" w:fill="FFFFFF"/>
        </w:rPr>
        <w:t>33.716,48 kn.</w:t>
      </w:r>
    </w:p>
    <w:sectPr w:rsidR="001227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B2" w:rsidRDefault="001227B2" w:rsidP="002B20B3">
      <w:pPr>
        <w:spacing w:after="0" w:line="240" w:lineRule="auto"/>
      </w:pPr>
      <w:r>
        <w:separator/>
      </w:r>
    </w:p>
  </w:endnote>
  <w:endnote w:type="continuationSeparator" w:id="0">
    <w:p w:rsidR="001227B2" w:rsidRDefault="001227B2" w:rsidP="002B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14701"/>
      <w:docPartObj>
        <w:docPartGallery w:val="Page Numbers (Bottom of Page)"/>
        <w:docPartUnique/>
      </w:docPartObj>
    </w:sdtPr>
    <w:sdtEndPr/>
    <w:sdtContent>
      <w:p w:rsidR="001227B2" w:rsidRDefault="001227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4E">
          <w:rPr>
            <w:noProof/>
          </w:rPr>
          <w:t>2</w:t>
        </w:r>
        <w:r>
          <w:fldChar w:fldCharType="end"/>
        </w:r>
      </w:p>
    </w:sdtContent>
  </w:sdt>
  <w:p w:rsidR="001227B2" w:rsidRDefault="001227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B2" w:rsidRDefault="001227B2" w:rsidP="002B20B3">
      <w:pPr>
        <w:spacing w:after="0" w:line="240" w:lineRule="auto"/>
      </w:pPr>
      <w:r>
        <w:separator/>
      </w:r>
    </w:p>
  </w:footnote>
  <w:footnote w:type="continuationSeparator" w:id="0">
    <w:p w:rsidR="001227B2" w:rsidRDefault="001227B2" w:rsidP="002B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45233"/>
    <w:rsid w:val="000903F8"/>
    <w:rsid w:val="000A2B22"/>
    <w:rsid w:val="001227B2"/>
    <w:rsid w:val="00167A56"/>
    <w:rsid w:val="001C39F3"/>
    <w:rsid w:val="001F2041"/>
    <w:rsid w:val="0020169E"/>
    <w:rsid w:val="0024301A"/>
    <w:rsid w:val="00276A94"/>
    <w:rsid w:val="00294575"/>
    <w:rsid w:val="002B20B3"/>
    <w:rsid w:val="003F4431"/>
    <w:rsid w:val="004215EF"/>
    <w:rsid w:val="004A14DE"/>
    <w:rsid w:val="004A1FF9"/>
    <w:rsid w:val="004B7E8E"/>
    <w:rsid w:val="00544BCA"/>
    <w:rsid w:val="00547139"/>
    <w:rsid w:val="005571A0"/>
    <w:rsid w:val="00576B4E"/>
    <w:rsid w:val="005A26CB"/>
    <w:rsid w:val="005D477B"/>
    <w:rsid w:val="006D6B4E"/>
    <w:rsid w:val="007004E3"/>
    <w:rsid w:val="007B565C"/>
    <w:rsid w:val="007C0C02"/>
    <w:rsid w:val="007D601A"/>
    <w:rsid w:val="008436E8"/>
    <w:rsid w:val="008D2AD5"/>
    <w:rsid w:val="008F3683"/>
    <w:rsid w:val="00973823"/>
    <w:rsid w:val="00975DC8"/>
    <w:rsid w:val="00980CCB"/>
    <w:rsid w:val="009A2503"/>
    <w:rsid w:val="00A0634B"/>
    <w:rsid w:val="00B1563C"/>
    <w:rsid w:val="00B3681C"/>
    <w:rsid w:val="00B631BA"/>
    <w:rsid w:val="00B6455A"/>
    <w:rsid w:val="00BA2B2F"/>
    <w:rsid w:val="00BF3B7B"/>
    <w:rsid w:val="00C05929"/>
    <w:rsid w:val="00C06E83"/>
    <w:rsid w:val="00C15F5D"/>
    <w:rsid w:val="00C26C2A"/>
    <w:rsid w:val="00C90FF0"/>
    <w:rsid w:val="00CA7D61"/>
    <w:rsid w:val="00CD1045"/>
    <w:rsid w:val="00D161BC"/>
    <w:rsid w:val="00E75BA1"/>
    <w:rsid w:val="00EF5D7A"/>
    <w:rsid w:val="00F122BF"/>
    <w:rsid w:val="00FE429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27</cp:revision>
  <cp:lastPrinted>2021-04-28T08:37:00Z</cp:lastPrinted>
  <dcterms:created xsi:type="dcterms:W3CDTF">2019-10-01T14:44:00Z</dcterms:created>
  <dcterms:modified xsi:type="dcterms:W3CDTF">2021-09-06T09:05:00Z</dcterms:modified>
</cp:coreProperties>
</file>