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9B" w:rsidRDefault="005A26CB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F3C7E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2425F0" w:rsidRPr="002425F0" w:rsidRDefault="002425F0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5A26CB" w:rsidRDefault="005A26CB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348AA">
        <w:rPr>
          <w:rFonts w:cstheme="minorHAnsi"/>
          <w:color w:val="000000" w:themeColor="text1"/>
          <w:sz w:val="24"/>
          <w:szCs w:val="24"/>
        </w:rPr>
        <w:t xml:space="preserve">Zakon o proračunu („Narodne novine“, </w:t>
      </w:r>
      <w:r w:rsidR="009348AA" w:rsidRPr="009348AA">
        <w:rPr>
          <w:rFonts w:cstheme="minorHAnsi"/>
          <w:color w:val="000000" w:themeColor="text1"/>
          <w:sz w:val="24"/>
          <w:szCs w:val="24"/>
        </w:rPr>
        <w:t>144/21</w:t>
      </w:r>
      <w:r w:rsidR="00CA7D61" w:rsidRPr="009348AA">
        <w:rPr>
          <w:rFonts w:cstheme="minorHAnsi"/>
          <w:color w:val="000000" w:themeColor="text1"/>
          <w:sz w:val="24"/>
          <w:szCs w:val="24"/>
        </w:rPr>
        <w:t>)</w:t>
      </w:r>
    </w:p>
    <w:p w:rsidR="00DF0EF3" w:rsidRPr="009348AA" w:rsidRDefault="00DF0EF3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Pravilnik o polugodišnjem i godišnjem izvještaju o izvršenju proračuna („Narodne novine“, broj 24/13, 102/17, 1/20 i 147/20)</w:t>
      </w:r>
      <w:bookmarkStart w:id="0" w:name="_GoBack"/>
      <w:bookmarkEnd w:id="0"/>
    </w:p>
    <w:p w:rsidR="0022059C" w:rsidRDefault="0022059C" w:rsidP="0022059C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</w:pPr>
    </w:p>
    <w:p w:rsidR="0022059C" w:rsidRPr="0022059C" w:rsidRDefault="0022059C" w:rsidP="0022059C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</w:pP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Jedinica područne (regionalne) samouprave može dati jamstvo jedinici lokalne samouprave na svojem području </w:t>
      </w:r>
      <w:r w:rsidR="003B44C5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uz prethodno dobivenu suglasnost ministra financija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. Dano jamstvo uključuje se u opseg mogućeg zaduživanja jedinice područne (regionalne) samouprave iz članka</w:t>
      </w:r>
      <w:r w:rsidR="009348AA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 121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Zakona o proračunu. 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Jedinica lokalne i područne (regionalne) samouprave može </w:t>
      </w:r>
      <w:r w:rsidR="003B44C5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dati jamstvo za dugoročno zaduživanje proračunskom i izvanproračunskom korisniku jedinice lokalne i područne (regionalne) samouprave, pravnoj osobi u većinskom vlasništvu ili suvlasništvu jedinica lokalne i područne (regionalne) samouprave i ustanovi čiji je osnivač, uz prethodnu dobivenu suglasnost ministra financija koje se uključuje u opseg mogućeg zaduživanja jedinice lokalne i područne (regionalne) samouprave iz članka 121. Zakona o proračunu razmjerno osnivačkim pravima sukladno aktu o osnivanju, odnosno udjelu u vlasništvu. </w:t>
      </w:r>
      <w:r w:rsidR="00CC086A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Iznimno, jamstvo dano za zaduženje do ukupno prihvatljivog troška projekta sufinanciranog iz sredstava Europske unije ne uključuje se u opseg mogućeg zaduživanja jedinice lokalne i područne (regionalne) samouprave. Ako statutom ili odlukom jedinice lokalne i područne (regionalne) samouprave nije prop</w:t>
      </w:r>
      <w:r w:rsidR="002D5B3B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isano tko odlučuje o jamstvu, odluku donosi predstavničko tijelo jedinice lokalne i područne (regionalne) samouprave. Ugovor o jamstvu u ime jedinice lokalne i područne (regionalne) samouprave sklapa načelnik, gradonačelnik, župan. Ako jedinica lokalne i područne (regionalne) samouprave da jamstvo bez prethodno dobivene suglasnosti ministra financija, jamstvo jedinice lokalne i područne (regionalne) samouprave je </w:t>
      </w:r>
      <w:proofErr w:type="spellStart"/>
      <w:r w:rsidR="002D5B3B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ništetno</w:t>
      </w:r>
      <w:proofErr w:type="spellEnd"/>
      <w:r w:rsidR="002D5B3B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. Jedinica lokalne i područne (regionalne) samouprave dužna je izvijestiti Ministarstvo financija o sklopljenom ugovoru o jamstvu u roku od osam dana od dana sklapanja ugovora te je dužna izvještavati Ministarstvo financija unutar proračunske godine, tromjesečno, do 10. u mjesecu za prethodno izvještajno razdoblje </w:t>
      </w:r>
      <w:proofErr w:type="spellStart"/>
      <w:r w:rsidR="002D5B3B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ostanju</w:t>
      </w:r>
      <w:proofErr w:type="spellEnd"/>
      <w:r w:rsidR="002D5B3B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 aktivnih jamstava za koja je prethodno dana suglasnost.</w:t>
      </w:r>
    </w:p>
    <w:p w:rsidR="00CA7D61" w:rsidRPr="0022059C" w:rsidRDefault="00CA7D61" w:rsidP="0022059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E22B16"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24/13, </w:t>
      </w:r>
      <w:r w:rsidR="00980CCB"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102/17</w:t>
      </w:r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22B16"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1/20</w:t>
      </w:r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 147/20</w:t>
      </w:r>
      <w:r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izvještaj o danim jamstvima i izdacima po jamstvima sadrži pregled danih i protestiranih jamstava u izvještajnom razdoblju. Za proračunsku godinu ovaj izvještaj sadrži i stanje obveza po danim državnim jamstvima, iskazanih u </w:t>
      </w:r>
      <w:proofErr w:type="spellStart"/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izvanbilančnoj</w:t>
      </w:r>
      <w:proofErr w:type="spellEnd"/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evidenciji, na početku i na kraju proračunske godine i stanje potraživanja po protestiranim jamstvima na početku i na kraju proračunske godine.</w:t>
      </w:r>
    </w:p>
    <w:p w:rsidR="00C05929" w:rsidRPr="00EF3C7E" w:rsidRDefault="0022059C" w:rsidP="001713F9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Grad Novska u svojim evidencijama nema iskazanih potraživanja niti obveza po protestiranim jamstvima</w:t>
      </w:r>
      <w:r w:rsidR="00A733A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u izvještajnom polugodišnjem razdoblju od 01.01. do 30.06.2022. godine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sectPr w:rsidR="00C05929" w:rsidRPr="00EF3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51" w:rsidRDefault="00375051" w:rsidP="00455835">
      <w:pPr>
        <w:spacing w:after="0" w:line="240" w:lineRule="auto"/>
      </w:pPr>
      <w:r>
        <w:separator/>
      </w:r>
    </w:p>
  </w:endnote>
  <w:end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05041"/>
      <w:docPartObj>
        <w:docPartGallery w:val="Page Numbers (Bottom of Page)"/>
        <w:docPartUnique/>
      </w:docPartObj>
    </w:sdtPr>
    <w:sdtEndPr/>
    <w:sdtContent>
      <w:p w:rsidR="00AF53DA" w:rsidRDefault="00AF53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EF3">
          <w:rPr>
            <w:noProof/>
          </w:rPr>
          <w:t>1</w:t>
        </w:r>
        <w:r>
          <w:fldChar w:fldCharType="end"/>
        </w:r>
      </w:p>
    </w:sdtContent>
  </w:sdt>
  <w:p w:rsidR="00455835" w:rsidRDefault="0045583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51" w:rsidRDefault="00375051" w:rsidP="00455835">
      <w:pPr>
        <w:spacing w:after="0" w:line="240" w:lineRule="auto"/>
      </w:pPr>
      <w:r>
        <w:separator/>
      </w:r>
    </w:p>
  </w:footnote>
  <w:foot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D01C660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90D46"/>
    <w:multiLevelType w:val="hybridMultilevel"/>
    <w:tmpl w:val="11FC42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1713F9"/>
    <w:rsid w:val="001C39F3"/>
    <w:rsid w:val="001F4C69"/>
    <w:rsid w:val="001F6F29"/>
    <w:rsid w:val="0022059C"/>
    <w:rsid w:val="002425F0"/>
    <w:rsid w:val="002D5B3B"/>
    <w:rsid w:val="00302926"/>
    <w:rsid w:val="00375051"/>
    <w:rsid w:val="003B44C5"/>
    <w:rsid w:val="00413DA6"/>
    <w:rsid w:val="00441B68"/>
    <w:rsid w:val="00455835"/>
    <w:rsid w:val="00547139"/>
    <w:rsid w:val="005A26CB"/>
    <w:rsid w:val="005F0AF8"/>
    <w:rsid w:val="005F22C2"/>
    <w:rsid w:val="006C2E4D"/>
    <w:rsid w:val="007A7FDF"/>
    <w:rsid w:val="007B565C"/>
    <w:rsid w:val="007D5E66"/>
    <w:rsid w:val="007E1D67"/>
    <w:rsid w:val="0081147F"/>
    <w:rsid w:val="008C7C31"/>
    <w:rsid w:val="009348AA"/>
    <w:rsid w:val="009438EC"/>
    <w:rsid w:val="00973823"/>
    <w:rsid w:val="00980CCB"/>
    <w:rsid w:val="00A03EFA"/>
    <w:rsid w:val="00A25D22"/>
    <w:rsid w:val="00A4092F"/>
    <w:rsid w:val="00A733A2"/>
    <w:rsid w:val="00A94F2D"/>
    <w:rsid w:val="00AE41FA"/>
    <w:rsid w:val="00AF53DA"/>
    <w:rsid w:val="00B335D7"/>
    <w:rsid w:val="00B6455A"/>
    <w:rsid w:val="00BB60E8"/>
    <w:rsid w:val="00BE3B9B"/>
    <w:rsid w:val="00C05929"/>
    <w:rsid w:val="00CA0AF5"/>
    <w:rsid w:val="00CA7D61"/>
    <w:rsid w:val="00CC086A"/>
    <w:rsid w:val="00DB59C2"/>
    <w:rsid w:val="00DF0EF3"/>
    <w:rsid w:val="00E02202"/>
    <w:rsid w:val="00E22B16"/>
    <w:rsid w:val="00EA04B5"/>
    <w:rsid w:val="00EF3C7E"/>
    <w:rsid w:val="00EF5D7A"/>
    <w:rsid w:val="00F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7</cp:revision>
  <cp:lastPrinted>2022-05-09T09:20:00Z</cp:lastPrinted>
  <dcterms:created xsi:type="dcterms:W3CDTF">2021-09-23T11:07:00Z</dcterms:created>
  <dcterms:modified xsi:type="dcterms:W3CDTF">2022-09-27T12:29:00Z</dcterms:modified>
</cp:coreProperties>
</file>