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0B26A9C0" w14:textId="65C969C1" w:rsidR="00DC311E" w:rsidRPr="00E7682F" w:rsidRDefault="00DC311E" w:rsidP="00DC311E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</w:pPr>
      <w:r w:rsidRPr="00E7682F">
        <w:rPr>
          <w:rFonts w:cstheme="minorHAnsi"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 xml:space="preserve">Javni poziv za predlaganje programa i projekata za zadovoljenje javnih potreba koje će na području Grada Novske </w:t>
      </w:r>
      <w:r w:rsidR="00FB2E05"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provoditi udru</w:t>
      </w:r>
      <w:r w:rsidR="00E82752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ge u 202</w:t>
      </w:r>
      <w:r w:rsidR="00875710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3</w:t>
      </w:r>
      <w:r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. godini</w:t>
      </w:r>
    </w:p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 xml:space="preserve">(3) Klasa i </w:t>
            </w:r>
            <w:proofErr w:type="spellStart"/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Urbroj</w:t>
            </w:r>
            <w:proofErr w:type="spellEnd"/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 xml:space="preserve">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 (Zahtjeva za isplatom) je datum (dan, mjesec i godina) na koji je pripremljen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 i potpisan od strane Korisnika.  </w:t>
      </w:r>
    </w:p>
    <w:p w14:paraId="71D32E6B" w14:textId="756A878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Identifikacijski broj Ugovora je  referentni broj ugovora koji je dao Korisnik i redni broj Zahtjeva za isplatom sredstava. Zahtjevi za isplatom su numerirani po redoslijedu, a referentni broj ugovora se ne mijenja (npr. DOM-1-20</w:t>
      </w:r>
      <w:r w:rsidR="00E82752">
        <w:rPr>
          <w:rFonts w:cstheme="minorHAnsi"/>
          <w:color w:val="222222"/>
          <w:sz w:val="24"/>
          <w:szCs w:val="24"/>
        </w:rPr>
        <w:t>2</w:t>
      </w:r>
      <w:r w:rsidR="00A53114">
        <w:rPr>
          <w:rFonts w:cstheme="minorHAnsi"/>
          <w:color w:val="222222"/>
          <w:sz w:val="24"/>
          <w:szCs w:val="24"/>
        </w:rPr>
        <w:t>3</w:t>
      </w:r>
      <w:r w:rsidRPr="00E7682F">
        <w:rPr>
          <w:rFonts w:cstheme="minorHAnsi"/>
          <w:color w:val="222222"/>
          <w:sz w:val="24"/>
          <w:szCs w:val="24"/>
        </w:rPr>
        <w:t>/1, referentni broj ugovora/broj zahtjeva).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Klasa,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Urbroj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-ovima istog projekta. Datum završetka izvještajnog razdoblja ne može biti a) raniji od datuma završetka naznačenog u prethodnom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-u, b) kasniji od datuma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E658" w14:textId="77777777" w:rsidR="004D7886" w:rsidRDefault="004D7886" w:rsidP="00DC311E">
      <w:pPr>
        <w:spacing w:after="0" w:line="240" w:lineRule="auto"/>
      </w:pPr>
      <w:r>
        <w:separator/>
      </w:r>
    </w:p>
  </w:endnote>
  <w:endnote w:type="continuationSeparator" w:id="0">
    <w:p w14:paraId="04B56533" w14:textId="77777777" w:rsidR="004D7886" w:rsidRDefault="004D7886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90F6" w14:textId="77777777" w:rsidR="004D7886" w:rsidRDefault="004D7886" w:rsidP="00DC311E">
      <w:pPr>
        <w:spacing w:after="0" w:line="240" w:lineRule="auto"/>
      </w:pPr>
      <w:r>
        <w:separator/>
      </w:r>
    </w:p>
  </w:footnote>
  <w:footnote w:type="continuationSeparator" w:id="0">
    <w:p w14:paraId="2085B792" w14:textId="77777777" w:rsidR="004D7886" w:rsidRDefault="004D7886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1F04C55F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58123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7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1F04C55F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58123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7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F3096"/>
    <w:rsid w:val="002B2596"/>
    <w:rsid w:val="0030791D"/>
    <w:rsid w:val="00383EEF"/>
    <w:rsid w:val="003D43CE"/>
    <w:rsid w:val="00466C9E"/>
    <w:rsid w:val="004D7886"/>
    <w:rsid w:val="004F44C1"/>
    <w:rsid w:val="0058123D"/>
    <w:rsid w:val="005B00F4"/>
    <w:rsid w:val="005D2835"/>
    <w:rsid w:val="00612FE4"/>
    <w:rsid w:val="00621786"/>
    <w:rsid w:val="00645518"/>
    <w:rsid w:val="006C2318"/>
    <w:rsid w:val="006D2A04"/>
    <w:rsid w:val="007419CE"/>
    <w:rsid w:val="0074526A"/>
    <w:rsid w:val="00753E40"/>
    <w:rsid w:val="007645AF"/>
    <w:rsid w:val="00787942"/>
    <w:rsid w:val="00875710"/>
    <w:rsid w:val="008A36CF"/>
    <w:rsid w:val="009A3233"/>
    <w:rsid w:val="009D4D5C"/>
    <w:rsid w:val="00A53114"/>
    <w:rsid w:val="00B16785"/>
    <w:rsid w:val="00B57459"/>
    <w:rsid w:val="00BB24BA"/>
    <w:rsid w:val="00BB5257"/>
    <w:rsid w:val="00C40D60"/>
    <w:rsid w:val="00C472BE"/>
    <w:rsid w:val="00C91F1D"/>
    <w:rsid w:val="00D073E2"/>
    <w:rsid w:val="00D20450"/>
    <w:rsid w:val="00D71215"/>
    <w:rsid w:val="00DC311E"/>
    <w:rsid w:val="00E73B09"/>
    <w:rsid w:val="00E7682F"/>
    <w:rsid w:val="00E82752"/>
    <w:rsid w:val="00E95755"/>
    <w:rsid w:val="00EB5EA6"/>
    <w:rsid w:val="00EF3495"/>
    <w:rsid w:val="00EF69D8"/>
    <w:rsid w:val="00F15BD7"/>
    <w:rsid w:val="00F25C06"/>
    <w:rsid w:val="00F4167C"/>
    <w:rsid w:val="00FB2E05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</cp:revision>
  <cp:lastPrinted>2016-04-18T07:03:00Z</cp:lastPrinted>
  <dcterms:created xsi:type="dcterms:W3CDTF">2023-01-17T08:36:00Z</dcterms:created>
  <dcterms:modified xsi:type="dcterms:W3CDTF">2023-01-18T10:28:00Z</dcterms:modified>
</cp:coreProperties>
</file>