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4338DD19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827DC7">
        <w:rPr>
          <w:rFonts w:cstheme="minorHAnsi"/>
          <w:b/>
          <w:sz w:val="24"/>
          <w:szCs w:val="24"/>
        </w:rPr>
        <w:t>3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14:paraId="5ACD1483" w14:textId="2BA9422E"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</w:t>
      </w:r>
      <w:r w:rsidR="0036124F" w:rsidRPr="0009278F">
        <w:rPr>
          <w:rFonts w:cstheme="minorHAnsi"/>
          <w:b/>
          <w:sz w:val="24"/>
          <w:szCs w:val="24"/>
        </w:rPr>
        <w:t xml:space="preserve">OBNOVA </w:t>
      </w:r>
      <w:r w:rsidR="007E04A3">
        <w:rPr>
          <w:rFonts w:cstheme="minorHAnsi"/>
          <w:b/>
          <w:sz w:val="24"/>
          <w:szCs w:val="24"/>
        </w:rPr>
        <w:t xml:space="preserve"> I UREĐENJE </w:t>
      </w:r>
      <w:r w:rsidR="0036124F" w:rsidRPr="0009278F">
        <w:rPr>
          <w:rFonts w:cstheme="minorHAnsi"/>
          <w:b/>
          <w:sz w:val="24"/>
          <w:szCs w:val="24"/>
        </w:rPr>
        <w:t>SAKRALNIH OBJEKATA</w:t>
      </w:r>
      <w:r w:rsidR="0036124F">
        <w:rPr>
          <w:rFonts w:cstheme="minorHAnsi"/>
          <w:b/>
          <w:sz w:val="24"/>
          <w:szCs w:val="24"/>
        </w:rPr>
        <w:t>,</w:t>
      </w:r>
      <w:r w:rsidR="0036124F" w:rsidRPr="0009278F">
        <w:rPr>
          <w:rFonts w:cstheme="minorHAnsi"/>
          <w:b/>
          <w:sz w:val="24"/>
          <w:szCs w:val="24"/>
        </w:rPr>
        <w:t xml:space="preserve">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77A3A25F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827DC7">
        <w:rPr>
          <w:rFonts w:cstheme="minorHAnsi"/>
          <w:b/>
          <w:i/>
          <w:sz w:val="24"/>
          <w:szCs w:val="24"/>
        </w:rPr>
        <w:t>1</w:t>
      </w:r>
      <w:r w:rsidR="00F3186B">
        <w:rPr>
          <w:rFonts w:cstheme="minorHAnsi"/>
          <w:b/>
          <w:i/>
          <w:sz w:val="24"/>
          <w:szCs w:val="24"/>
        </w:rPr>
        <w:t>8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01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827DC7">
        <w:rPr>
          <w:rFonts w:cstheme="minorHAnsi"/>
          <w:b/>
          <w:i/>
          <w:sz w:val="24"/>
          <w:szCs w:val="24"/>
        </w:rPr>
        <w:t>3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1A2EC60F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827DC7">
        <w:rPr>
          <w:rFonts w:cstheme="minorHAnsi"/>
          <w:b/>
          <w:i/>
          <w:sz w:val="24"/>
          <w:szCs w:val="24"/>
        </w:rPr>
        <w:t>1</w:t>
      </w:r>
      <w:r w:rsidR="00F3186B">
        <w:rPr>
          <w:rFonts w:cstheme="minorHAnsi"/>
          <w:b/>
          <w:i/>
          <w:sz w:val="24"/>
          <w:szCs w:val="24"/>
        </w:rPr>
        <w:t>7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E44355" w:rsidRPr="00A906E4">
        <w:rPr>
          <w:rFonts w:cstheme="minorHAnsi"/>
          <w:b/>
          <w:i/>
          <w:sz w:val="24"/>
          <w:szCs w:val="24"/>
        </w:rPr>
        <w:t>2</w:t>
      </w:r>
      <w:r w:rsidR="006770CF">
        <w:rPr>
          <w:rFonts w:cstheme="minorHAnsi"/>
          <w:b/>
          <w:i/>
          <w:sz w:val="24"/>
          <w:szCs w:val="24"/>
        </w:rPr>
        <w:t>.202</w:t>
      </w:r>
      <w:r w:rsidR="00827DC7">
        <w:rPr>
          <w:rFonts w:cstheme="minorHAnsi"/>
          <w:b/>
          <w:i/>
          <w:sz w:val="24"/>
          <w:szCs w:val="24"/>
        </w:rPr>
        <w:t>3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33E5C86E" w14:textId="43653B7C"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827DC7">
        <w:rPr>
          <w:rFonts w:eastAsia="Times New Roman" w:cstheme="minorHAnsi"/>
          <w:b/>
          <w:noProof/>
          <w:snapToGrid w:val="0"/>
          <w:sz w:val="24"/>
          <w:szCs w:val="24"/>
        </w:rPr>
        <w:t>3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31A6A1A1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012189C7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40FD64E1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Pr="00A906E4">
        <w:rPr>
          <w:rFonts w:cstheme="minorHAnsi"/>
          <w:b/>
          <w:sz w:val="22"/>
          <w:szCs w:val="22"/>
        </w:rPr>
        <w:t>5-</w:t>
      </w:r>
      <w:r w:rsidR="00DA5FDD">
        <w:rPr>
          <w:rFonts w:cstheme="minorHAnsi"/>
          <w:b/>
          <w:sz w:val="22"/>
          <w:szCs w:val="22"/>
        </w:rPr>
        <w:t>8</w:t>
      </w:r>
    </w:p>
    <w:p w14:paraId="3F725AEB" w14:textId="65A755BF" w:rsidR="00AC0B04" w:rsidRPr="00A906E4" w:rsidRDefault="00574268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OBNOVA I UREĐENJE SAKRALNIH OBJEKATA</w:t>
      </w:r>
      <w:r w:rsidR="00373DD7" w:rsidRPr="00A906E4">
        <w:rPr>
          <w:rFonts w:cstheme="minorHAnsi"/>
          <w:sz w:val="22"/>
          <w:szCs w:val="22"/>
        </w:rPr>
        <w:t xml:space="preserve"> </w:t>
      </w:r>
    </w:p>
    <w:p w14:paraId="2116CDB4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14:paraId="02DE2E30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14:paraId="209E98F8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14:paraId="7F5F180A" w14:textId="77777777"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14:paraId="7E2A4671" w14:textId="187E05E9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527B3D">
        <w:rPr>
          <w:rFonts w:cstheme="minorHAnsi"/>
          <w:b/>
          <w:sz w:val="22"/>
          <w:szCs w:val="22"/>
        </w:rPr>
        <w:t>9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DA5FDD">
        <w:rPr>
          <w:rFonts w:cstheme="minorHAnsi"/>
          <w:b/>
          <w:sz w:val="22"/>
          <w:szCs w:val="22"/>
        </w:rPr>
        <w:t>3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7CA8CC8C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DA5FDD">
        <w:rPr>
          <w:rFonts w:cstheme="minorHAnsi"/>
          <w:b/>
          <w:sz w:val="22"/>
          <w:szCs w:val="22"/>
        </w:rPr>
        <w:t>3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DA5FDD">
        <w:rPr>
          <w:rFonts w:cstheme="minorHAnsi"/>
          <w:b/>
          <w:sz w:val="22"/>
          <w:szCs w:val="22"/>
        </w:rPr>
        <w:t>6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35408D63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527B3D">
        <w:rPr>
          <w:rFonts w:cstheme="minorHAnsi"/>
          <w:b/>
          <w:sz w:val="22"/>
          <w:szCs w:val="22"/>
        </w:rPr>
        <w:t>7</w:t>
      </w:r>
      <w:r w:rsidR="00457A74" w:rsidRPr="00A906E4">
        <w:rPr>
          <w:rFonts w:cstheme="minorHAnsi"/>
          <w:b/>
          <w:sz w:val="22"/>
          <w:szCs w:val="22"/>
        </w:rPr>
        <w:t>-2</w:t>
      </w:r>
      <w:r w:rsidR="00DA5FDD">
        <w:rPr>
          <w:rFonts w:cstheme="minorHAnsi"/>
          <w:b/>
          <w:sz w:val="22"/>
          <w:szCs w:val="22"/>
        </w:rPr>
        <w:t>0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D34AAA5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DA5FDD">
        <w:rPr>
          <w:rFonts w:cstheme="minorHAnsi"/>
          <w:b/>
          <w:sz w:val="22"/>
          <w:szCs w:val="22"/>
        </w:rPr>
        <w:t>0</w:t>
      </w:r>
      <w:r w:rsidRPr="00A906E4">
        <w:rPr>
          <w:rFonts w:cstheme="minorHAnsi"/>
          <w:b/>
          <w:sz w:val="22"/>
          <w:szCs w:val="22"/>
        </w:rPr>
        <w:t>-2</w:t>
      </w:r>
      <w:r w:rsidR="00DA5FDD">
        <w:rPr>
          <w:rFonts w:cstheme="minorHAnsi"/>
          <w:b/>
          <w:sz w:val="22"/>
          <w:szCs w:val="22"/>
        </w:rPr>
        <w:t>2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136285A4" w14:textId="77777777"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14:paraId="45AD9BE0" w14:textId="646A09B4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DA5FDD">
        <w:rPr>
          <w:rFonts w:cstheme="minorHAnsi"/>
          <w:b/>
          <w:sz w:val="22"/>
          <w:szCs w:val="22"/>
        </w:rPr>
        <w:t>2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77777777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23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7777777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</w:t>
      </w:r>
      <w:r w:rsidR="00747BFC">
        <w:rPr>
          <w:rFonts w:cstheme="minorHAnsi"/>
          <w:b/>
          <w:sz w:val="22"/>
          <w:szCs w:val="22"/>
        </w:rPr>
        <w:t>3-24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38C63F6A" w14:textId="77777777"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14:paraId="287B9D53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5898731A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</w:t>
      </w:r>
      <w:r w:rsidR="007563E9">
        <w:rPr>
          <w:rFonts w:cstheme="minorHAnsi"/>
          <w:sz w:val="24"/>
          <w:szCs w:val="24"/>
        </w:rPr>
        <w:t xml:space="preserve">obnove </w:t>
      </w:r>
      <w:r w:rsidR="00610888">
        <w:rPr>
          <w:rFonts w:cstheme="minorHAnsi"/>
          <w:sz w:val="24"/>
          <w:szCs w:val="24"/>
        </w:rPr>
        <w:t xml:space="preserve">i uređenja </w:t>
      </w:r>
      <w:r w:rsidR="007563E9">
        <w:rPr>
          <w:rFonts w:cstheme="minorHAnsi"/>
          <w:sz w:val="24"/>
          <w:szCs w:val="24"/>
        </w:rPr>
        <w:t>sakralnih objekata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642AD3">
        <w:rPr>
          <w:rFonts w:cstheme="minorHAnsi"/>
          <w:sz w:val="24"/>
          <w:szCs w:val="24"/>
        </w:rPr>
        <w:t>3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551979C8" w14:textId="77777777"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14:paraId="4D61D6DB" w14:textId="77777777"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14:paraId="3D7C6A4C" w14:textId="77777777"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7636D607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</w:t>
      </w:r>
      <w:r w:rsidR="007563E9">
        <w:rPr>
          <w:rFonts w:cstheme="minorHAnsi"/>
          <w:sz w:val="24"/>
          <w:szCs w:val="24"/>
        </w:rPr>
        <w:t xml:space="preserve">obnove </w:t>
      </w:r>
      <w:r w:rsidR="00610888">
        <w:rPr>
          <w:rFonts w:cstheme="minorHAnsi"/>
          <w:sz w:val="24"/>
          <w:szCs w:val="24"/>
        </w:rPr>
        <w:t xml:space="preserve">i uređenja </w:t>
      </w:r>
      <w:r w:rsidR="007563E9">
        <w:rPr>
          <w:rFonts w:cstheme="minorHAnsi"/>
          <w:sz w:val="24"/>
          <w:szCs w:val="24"/>
        </w:rPr>
        <w:t>sakralnih objekata</w:t>
      </w:r>
      <w:r w:rsidRPr="00A906E4">
        <w:rPr>
          <w:rFonts w:cstheme="minorHAnsi"/>
          <w:sz w:val="24"/>
          <w:szCs w:val="24"/>
        </w:rPr>
        <w:t>, područja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14:paraId="0A98BD07" w14:textId="77777777"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14:paraId="20987D67" w14:textId="537657B4"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</w:t>
      </w:r>
      <w:r w:rsidR="007563E9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50F9351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1933510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76767D9" w14:textId="77777777" w:rsidR="001D2E15" w:rsidRPr="00A906E4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507E326" w14:textId="77777777" w:rsidR="00544313" w:rsidRPr="00A906E4" w:rsidRDefault="00544313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A1F130" w14:textId="77777777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77777777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102EA91C" w:rsidR="00E67E5C" w:rsidRPr="00D650D2" w:rsidRDefault="00E67E5C" w:rsidP="00E67E5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Za sva područja Javnog poziva iz točke 1.1.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ovih Uputa,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u proračunu Grada Novske 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osigurana su sredstva u ukupnom iznosu od </w:t>
      </w:r>
      <w:r w:rsidR="0090316A" w:rsidRPr="00D650D2">
        <w:rPr>
          <w:rFonts w:cstheme="minorHAnsi"/>
          <w:b/>
          <w:color w:val="000000" w:themeColor="text1"/>
          <w:sz w:val="24"/>
          <w:szCs w:val="24"/>
        </w:rPr>
        <w:t>103.523,79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671C35" w:rsidRPr="00D650D2">
        <w:rPr>
          <w:rFonts w:cstheme="minorHAnsi"/>
          <w:color w:val="000000" w:themeColor="text1"/>
          <w:sz w:val="24"/>
          <w:szCs w:val="24"/>
        </w:rPr>
        <w:t>eura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464EC6F" w14:textId="77777777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7777777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Pr="00D650D2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D650D2" w:rsidRPr="00D650D2" w14:paraId="56F0CC64" w14:textId="77777777" w:rsidTr="00366A1B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1F0C3AEE" w:rsidR="00016EA2" w:rsidRPr="00D650D2" w:rsidRDefault="00C067F0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Obnova </w:t>
            </w:r>
            <w:r w:rsidR="007E04A3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 uređenje </w:t>
            </w: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9C6E5BC" w14:textId="580A5A28" w:rsidR="00016EA2" w:rsidRPr="00D650D2" w:rsidRDefault="00897965" w:rsidP="00B92A6D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39.816,84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77777777" w:rsidR="00016EA2" w:rsidRPr="00D650D2" w:rsidRDefault="00F770F4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AFBFAB9" w14:textId="2BAC811C" w:rsidR="00016EA2" w:rsidRPr="00D650D2" w:rsidRDefault="0089796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7E074E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 w:rsidR="00016EA2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FCE4A5E" w14:textId="7C33B4E5" w:rsidR="00016EA2" w:rsidRPr="00D650D2" w:rsidRDefault="00F55394" w:rsidP="004806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807FD13" w14:textId="77777777" w:rsidR="00A91E68" w:rsidRPr="00D650D2" w:rsidRDefault="00016EA2" w:rsidP="00016EA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Program 10</w:t>
            </w:r>
            <w:r w:rsidR="004040A0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04</w:t>
            </w: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        </w:t>
            </w:r>
          </w:p>
          <w:p w14:paraId="55847E5E" w14:textId="77777777" w:rsidR="00016EA2" w:rsidRPr="00D650D2" w:rsidRDefault="004040A0" w:rsidP="004040A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T</w:t>
            </w:r>
            <w:r w:rsidR="00BA33C8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10000</w:t>
            </w: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7226E" w:rsidRPr="00F7226E" w14:paraId="11701617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EDDF5E9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42FE6D3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B71E2B" w14:textId="3DE1E748" w:rsidR="00016EA2" w:rsidRPr="00F7226E" w:rsidRDefault="002E3783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15.926,74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80D3895" w14:textId="2AD85C39" w:rsidR="00016EA2" w:rsidRPr="00F7226E" w:rsidRDefault="003B444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2E3783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E406141" w14:textId="2512A499" w:rsidR="00016EA2" w:rsidRPr="00F7226E" w:rsidRDefault="002E378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6.600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DFCC23" w14:textId="77777777" w:rsidR="00016EA2" w:rsidRPr="00F7226E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2A7262A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F7226E" w:rsidRPr="00F7226E" w14:paraId="6CDD0C51" w14:textId="77777777" w:rsidTr="00366A1B">
        <w:tc>
          <w:tcPr>
            <w:tcW w:w="850" w:type="dxa"/>
            <w:shd w:val="clear" w:color="auto" w:fill="FBE4D5" w:themeFill="accent2" w:themeFillTint="33"/>
          </w:tcPr>
          <w:p w14:paraId="140C3B83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453CB2F" w14:textId="77777777" w:rsidR="00016EA2" w:rsidRPr="00F7226E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A6A591" w14:textId="216D23D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37.826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2A56D6" w14:textId="52A1F3E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C521B31" w14:textId="209D43C0" w:rsidR="00016EA2" w:rsidRPr="00F7226E" w:rsidRDefault="00945C9F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220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EA23A2" w14:textId="77777777" w:rsidR="00016EA2" w:rsidRPr="00F7226E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65C901" w14:textId="77777777" w:rsidR="00016EA2" w:rsidRPr="00F7226E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F7226E" w:rsidRPr="00F7226E" w14:paraId="38BDB4E0" w14:textId="77777777" w:rsidTr="00366A1B">
        <w:tc>
          <w:tcPr>
            <w:tcW w:w="850" w:type="dxa"/>
            <w:shd w:val="clear" w:color="auto" w:fill="FBE4D5" w:themeFill="accent2" w:themeFillTint="33"/>
          </w:tcPr>
          <w:p w14:paraId="772E8146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E225264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F7226E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5BF98D4" w14:textId="42D0654E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3.981,68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256AFF7" w14:textId="3AF9249C" w:rsidR="00016EA2" w:rsidRPr="00F7226E" w:rsidRDefault="006A41F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45C9F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2A9845B" w14:textId="6246620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2.600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4740A5" w14:textId="77777777"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487CC85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F7226E" w:rsidRPr="00F7226E" w14:paraId="72E69726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0D0D5CE" w14:textId="77777777"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5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6A73746" w14:textId="77777777" w:rsidR="00016EA2" w:rsidRPr="00F7226E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8004070" w14:textId="4FCFD2AE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5.972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CB4D184" w14:textId="5D3A36AB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FD6A413" w14:textId="77D1ADFC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612EB1" w14:textId="77777777" w:rsidR="00016EA2" w:rsidRPr="00F7226E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3490236" w14:textId="77777777" w:rsidR="00016EA2" w:rsidRPr="00F7226E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10BD781E" w:rsidR="00016EA2" w:rsidRPr="00D650D2" w:rsidRDefault="0090316A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103.523,79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396C8E63" w:rsidR="00016EA2" w:rsidRPr="00D650D2" w:rsidRDefault="0090316A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77777777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14:paraId="7B7959F4" w14:textId="77777777"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14:paraId="797CF1C1" w14:textId="77777777"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14:paraId="49536CBA" w14:textId="77777777"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14:paraId="207EFFE7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432BFCB6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14:paraId="098AAA03" w14:textId="77777777"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14:paraId="27A8EB0A" w14:textId="24BCAB03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F55394" w:rsidRPr="00A906E4">
        <w:rPr>
          <w:rFonts w:cstheme="minorHAnsi"/>
          <w:b/>
          <w:sz w:val="24"/>
          <w:szCs w:val="24"/>
        </w:rPr>
        <w:t xml:space="preserve">OBNOVA  I  </w:t>
      </w:r>
      <w:r w:rsidR="007E04A3">
        <w:rPr>
          <w:rFonts w:cstheme="minorHAnsi"/>
          <w:b/>
          <w:sz w:val="24"/>
          <w:szCs w:val="24"/>
        </w:rPr>
        <w:t>UREĐENJE</w:t>
      </w:r>
      <w:r w:rsidR="00F55394" w:rsidRPr="00A906E4">
        <w:rPr>
          <w:rFonts w:cstheme="minorHAnsi"/>
          <w:b/>
          <w:sz w:val="24"/>
          <w:szCs w:val="24"/>
        </w:rPr>
        <w:t xml:space="preserve"> SAKRALNIH OBJEKATA</w:t>
      </w:r>
    </w:p>
    <w:p w14:paraId="164DB015" w14:textId="77777777"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14:paraId="68A7B002" w14:textId="7BB60322" w:rsidR="00F55394" w:rsidRPr="00D650D2" w:rsidRDefault="00F55394" w:rsidP="00F55394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Utvrđeni prioriteti temelje se na Programu javnih potreba u kulturi Grada Novske za 2023. godinu i Obrazloženju proračuna Grada Novske za 2023. godinu.</w:t>
      </w:r>
    </w:p>
    <w:p w14:paraId="3D68DA1D" w14:textId="04183CEF" w:rsidR="00BB42FA" w:rsidRPr="00E75F78" w:rsidRDefault="00BB42FA" w:rsidP="001A686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A84651F" w14:textId="77777777"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14:paraId="17033D6F" w14:textId="77777777" w:rsidR="00F55394" w:rsidRPr="00221A7F" w:rsidRDefault="00F55394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14:paraId="28FE572B" w14:textId="725088E4" w:rsidR="001662D7" w:rsidRPr="00F55394" w:rsidRDefault="00F53982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uređenje, </w:t>
      </w:r>
      <w:r w:rsidRPr="007858C8">
        <w:rPr>
          <w:rFonts w:cstheme="minorHAnsi"/>
          <w:sz w:val="24"/>
          <w:szCs w:val="24"/>
        </w:rPr>
        <w:t>obnov</w:t>
      </w:r>
      <w:r w:rsidR="002E6FE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</w:t>
      </w:r>
      <w:r w:rsidRPr="007858C8">
        <w:rPr>
          <w:rFonts w:cstheme="minorHAnsi"/>
          <w:sz w:val="24"/>
          <w:szCs w:val="24"/>
        </w:rPr>
        <w:t xml:space="preserve"> opremanje  sakralnih i drugih vjerskih objekata</w:t>
      </w:r>
      <w:r>
        <w:rPr>
          <w:rFonts w:cstheme="minorHAnsi"/>
          <w:sz w:val="24"/>
          <w:szCs w:val="24"/>
        </w:rPr>
        <w:t xml:space="preserve"> </w:t>
      </w:r>
      <w:r w:rsidR="00F55394" w:rsidRPr="00221A7F">
        <w:rPr>
          <w:rFonts w:cstheme="minorHAnsi"/>
          <w:sz w:val="24"/>
          <w:szCs w:val="24"/>
        </w:rPr>
        <w:t xml:space="preserve">na području Grada Novske te omogućavanje svim vjernicima primjerene i jednake uvjete sudjelovanja na vjerskim obredima. </w:t>
      </w:r>
    </w:p>
    <w:p w14:paraId="4062CA96" w14:textId="77777777"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69C390BC" w14:textId="77777777" w:rsidR="00F55394" w:rsidRPr="00A906E4" w:rsidRDefault="00F55394" w:rsidP="00F55394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1.  Projekti obnove  i sanacije  sakralnih objekata na području Grada Novske; </w:t>
      </w:r>
    </w:p>
    <w:p w14:paraId="3D490B7F" w14:textId="1DC10293" w:rsidR="00D26873" w:rsidRPr="00F55394" w:rsidRDefault="00F55394" w:rsidP="00F55394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2. Projekti </w:t>
      </w:r>
      <w:r w:rsidR="006B2419">
        <w:rPr>
          <w:rFonts w:cstheme="minorHAnsi"/>
          <w:color w:val="2E74B5" w:themeColor="accent1" w:themeShade="BF"/>
          <w:sz w:val="24"/>
          <w:szCs w:val="24"/>
        </w:rPr>
        <w:t>uređenja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 ili opremanja sakralnih </w:t>
      </w:r>
      <w:r w:rsidR="006B2419">
        <w:rPr>
          <w:rFonts w:cstheme="minorHAnsi"/>
          <w:color w:val="2E74B5" w:themeColor="accent1" w:themeShade="BF"/>
          <w:sz w:val="24"/>
          <w:szCs w:val="24"/>
        </w:rPr>
        <w:t>i drugih vjerskih objekata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 na području Grada Novske</w:t>
      </w:r>
      <w:r w:rsidR="002D4EEE" w:rsidRPr="00F55394">
        <w:rPr>
          <w:rFonts w:cstheme="minorHAnsi"/>
          <w:color w:val="0070C0"/>
          <w:sz w:val="24"/>
          <w:szCs w:val="24"/>
        </w:rPr>
        <w:t>.</w:t>
      </w:r>
    </w:p>
    <w:p w14:paraId="364AD5BD" w14:textId="77777777"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F67BE3" w14:textId="77777777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14:paraId="5DFBB790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7B1C23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CBDF225" w14:textId="77777777"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14:paraId="3DFF3F52" w14:textId="77777777"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14:paraId="042D0A61" w14:textId="77777777"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14:paraId="4EF3D9B1" w14:textId="77777777"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14:paraId="7BF34CD0" w14:textId="77777777"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lastRenderedPageBreak/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3FD6CEE2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14:paraId="2ECB8FBE" w14:textId="77777777"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14:paraId="5256251E" w14:textId="77777777"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4DDAD979" w14:textId="77777777"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14:paraId="5FD5CE2C" w14:textId="77777777"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.3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14:paraId="2853584F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06F9EE0" w14:textId="77777777"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14:paraId="752EB87C" w14:textId="5C477B96" w:rsidR="005F49D9" w:rsidRPr="00A906E4" w:rsidRDefault="009A203C" w:rsidP="005F49D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A81A6D" w:rsidRPr="00A906E4">
        <w:rPr>
          <w:rFonts w:cstheme="minorHAnsi"/>
          <w:sz w:val="24"/>
          <w:szCs w:val="24"/>
        </w:rPr>
        <w:t xml:space="preserve">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 xml:space="preserve">škom razvojnom planu Grada Novske 2018.-2023. (Službeni vjesnik 24/19) 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5A2DA0">
        <w:rPr>
          <w:rFonts w:cstheme="minorHAnsi"/>
          <w:sz w:val="24"/>
          <w:szCs w:val="24"/>
        </w:rPr>
        <w:t xml:space="preserve"> i </w:t>
      </w:r>
      <w:r w:rsidR="00A81A6D" w:rsidRPr="00A906E4">
        <w:rPr>
          <w:rFonts w:cstheme="minorHAnsi"/>
          <w:sz w:val="24"/>
          <w:szCs w:val="24"/>
        </w:rPr>
        <w:t>Obrazloženj</w:t>
      </w:r>
      <w:r w:rsidR="005A2DA0">
        <w:rPr>
          <w:rFonts w:cstheme="minorHAnsi"/>
          <w:sz w:val="24"/>
          <w:szCs w:val="24"/>
        </w:rPr>
        <w:t>u</w:t>
      </w:r>
      <w:r w:rsidR="00BA33C8" w:rsidRPr="00A906E4">
        <w:rPr>
          <w:rFonts w:cstheme="minorHAnsi"/>
          <w:sz w:val="24"/>
          <w:szCs w:val="24"/>
        </w:rPr>
        <w:t xml:space="preserve"> proračuna Grada Novske za 20</w:t>
      </w:r>
      <w:r w:rsidR="000F55CE">
        <w:rPr>
          <w:rFonts w:cstheme="minorHAnsi"/>
          <w:sz w:val="24"/>
          <w:szCs w:val="24"/>
        </w:rPr>
        <w:t>2</w:t>
      </w:r>
      <w:r w:rsidR="001E0F7A">
        <w:rPr>
          <w:rFonts w:cstheme="minorHAnsi"/>
          <w:sz w:val="24"/>
          <w:szCs w:val="24"/>
        </w:rPr>
        <w:t>3</w:t>
      </w:r>
      <w:r w:rsidR="00A81A6D" w:rsidRPr="00A906E4">
        <w:rPr>
          <w:rFonts w:cstheme="minorHAnsi"/>
          <w:sz w:val="24"/>
          <w:szCs w:val="24"/>
        </w:rPr>
        <w:t>. godinu.</w:t>
      </w:r>
    </w:p>
    <w:p w14:paraId="1C686755" w14:textId="77777777"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14:paraId="6C50EC23" w14:textId="77777777"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14:paraId="777FE6C2" w14:textId="77777777"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14:paraId="00C49DFC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11ED899E" w14:textId="77777777"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14:paraId="60C5274C" w14:textId="77777777"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06817D18" w14:textId="77777777"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14:paraId="30A8C1DC" w14:textId="77777777"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14:paraId="5521DAFB" w14:textId="77777777"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0EDAA2A8" w14:textId="77777777"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2.4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14:paraId="749EC7D7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587E2" w14:textId="77777777"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741A977B" w14:textId="346CA484" w:rsidR="00054F45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3D5BFF" w:rsidRPr="00E75F78">
        <w:rPr>
          <w:rFonts w:cstheme="minorHAnsi"/>
          <w:sz w:val="24"/>
          <w:szCs w:val="24"/>
        </w:rPr>
        <w:t>Strate</w:t>
      </w:r>
      <w:r w:rsidR="009A3AB9">
        <w:rPr>
          <w:rFonts w:cstheme="minorHAnsi"/>
          <w:sz w:val="24"/>
          <w:szCs w:val="24"/>
        </w:rPr>
        <w:t>škom razvojnom planu Grada Novske 2018.-2023. (Službeni vjesnik 24/19)</w:t>
      </w:r>
      <w:r w:rsidR="003D5BFF" w:rsidRPr="00E75F78">
        <w:rPr>
          <w:rFonts w:cstheme="minorHAnsi"/>
          <w:sz w:val="24"/>
          <w:szCs w:val="24"/>
        </w:rPr>
        <w:t xml:space="preserve">, Strateški cilj 3: </w:t>
      </w:r>
      <w:r w:rsidR="009A3AB9">
        <w:rPr>
          <w:rFonts w:cstheme="minorHAnsi"/>
          <w:sz w:val="24"/>
          <w:szCs w:val="24"/>
        </w:rPr>
        <w:t>Unapređenje kvalitete života stanovnika i razvijena društvena infrastruktura, Prioritet 3.3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Razvijene zdravstvene i socijalne usluge</w:t>
      </w:r>
      <w:r w:rsidR="003D5BFF" w:rsidRPr="00E75F78">
        <w:rPr>
          <w:rFonts w:cstheme="minorHAnsi"/>
          <w:sz w:val="24"/>
          <w:szCs w:val="24"/>
        </w:rPr>
        <w:t xml:space="preserve">, </w:t>
      </w:r>
      <w:r w:rsidR="009A3AB9">
        <w:rPr>
          <w:rFonts w:cstheme="minorHAnsi"/>
          <w:sz w:val="24"/>
          <w:szCs w:val="24"/>
        </w:rPr>
        <w:t xml:space="preserve">Mjera 3.3.2. Razvoj socijalnih usluga, </w:t>
      </w:r>
      <w:r w:rsidR="003D5BFF" w:rsidRPr="00E75F78">
        <w:rPr>
          <w:rFonts w:cstheme="minorHAnsi"/>
          <w:sz w:val="24"/>
          <w:szCs w:val="24"/>
        </w:rPr>
        <w:t>Prioritet 3.</w:t>
      </w:r>
      <w:r w:rsidR="009A3AB9">
        <w:rPr>
          <w:rFonts w:cstheme="minorHAnsi"/>
          <w:sz w:val="24"/>
          <w:szCs w:val="24"/>
        </w:rPr>
        <w:t>4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3D5BFF" w:rsidRPr="00E75F78">
        <w:rPr>
          <w:rFonts w:cstheme="minorHAnsi"/>
          <w:sz w:val="24"/>
          <w:szCs w:val="24"/>
        </w:rPr>
        <w:t xml:space="preserve">; </w:t>
      </w:r>
      <w:r w:rsidR="003D5BFF" w:rsidRPr="00A906E4">
        <w:rPr>
          <w:rFonts w:cstheme="minorHAnsi"/>
          <w:sz w:val="24"/>
          <w:szCs w:val="24"/>
        </w:rPr>
        <w:t>Obrazloženje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1E0F7A">
        <w:rPr>
          <w:rFonts w:cstheme="minorHAnsi"/>
          <w:sz w:val="24"/>
          <w:szCs w:val="24"/>
        </w:rPr>
        <w:t>3</w:t>
      </w:r>
      <w:r w:rsidR="003D5BFF" w:rsidRPr="00A906E4">
        <w:rPr>
          <w:rFonts w:cstheme="minorHAnsi"/>
          <w:sz w:val="24"/>
          <w:szCs w:val="24"/>
        </w:rPr>
        <w:t>. godinu.</w:t>
      </w:r>
    </w:p>
    <w:p w14:paraId="3B32343B" w14:textId="77777777" w:rsidR="00F331EB" w:rsidRPr="00A906E4" w:rsidRDefault="00F331EB" w:rsidP="00A077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00AA0AA" w14:textId="77777777"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14:paraId="02C25C73" w14:textId="77777777"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75614E36" w14:textId="77777777"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14:paraId="310274CB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14:paraId="46474E03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14:paraId="3888A0C2" w14:textId="77777777"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14:paraId="6C8BF9E1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0FE30E9" w14:textId="77777777"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42A7445E" w14:textId="77777777"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14:paraId="25F6AF4E" w14:textId="77777777"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14:paraId="03AFFF0F" w14:textId="77777777"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lastRenderedPageBreak/>
        <w:t>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11D88D03" w14:textId="77777777"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14:paraId="3BA66629" w14:textId="77777777"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2.5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14:paraId="79AA03F7" w14:textId="77777777"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7091A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2DD4F35A" w14:textId="63394F78" w:rsidR="001A6860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1A6860" w:rsidRPr="00A906E4">
        <w:rPr>
          <w:rFonts w:cstheme="minorHAnsi"/>
          <w:sz w:val="24"/>
          <w:szCs w:val="24"/>
        </w:rPr>
        <w:t xml:space="preserve">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A05085" w:rsidRPr="00E75F78">
        <w:rPr>
          <w:rFonts w:cstheme="minorHAnsi"/>
          <w:sz w:val="24"/>
          <w:szCs w:val="24"/>
        </w:rPr>
        <w:t>,</w:t>
      </w:r>
      <w:r w:rsidR="00A05085" w:rsidRPr="009211F9">
        <w:rPr>
          <w:rFonts w:cstheme="minorHAnsi"/>
          <w:color w:val="FF0000"/>
          <w:sz w:val="24"/>
          <w:szCs w:val="24"/>
        </w:rPr>
        <w:t xml:space="preserve"> </w:t>
      </w:r>
      <w:r w:rsidR="00A05085" w:rsidRPr="00A906E4">
        <w:rPr>
          <w:rFonts w:cstheme="minorHAnsi"/>
          <w:sz w:val="24"/>
          <w:szCs w:val="24"/>
        </w:rPr>
        <w:t>Obrazloženj</w:t>
      </w:r>
      <w:r w:rsidR="00475D9E">
        <w:rPr>
          <w:rFonts w:cstheme="minorHAnsi"/>
          <w:sz w:val="24"/>
          <w:szCs w:val="24"/>
        </w:rPr>
        <w:t>e proračuna Grada Novske za 202</w:t>
      </w:r>
      <w:r w:rsidR="003932C7">
        <w:rPr>
          <w:rFonts w:cstheme="minorHAnsi"/>
          <w:sz w:val="24"/>
          <w:szCs w:val="24"/>
        </w:rPr>
        <w:t>3</w:t>
      </w:r>
      <w:r w:rsidR="00A05085" w:rsidRPr="00A906E4">
        <w:rPr>
          <w:rFonts w:cstheme="minorHAnsi"/>
          <w:sz w:val="24"/>
          <w:szCs w:val="24"/>
        </w:rPr>
        <w:t xml:space="preserve">. </w:t>
      </w:r>
      <w:r w:rsidR="00F331EB">
        <w:rPr>
          <w:rFonts w:cstheme="minorHAnsi"/>
          <w:sz w:val="24"/>
          <w:szCs w:val="24"/>
        </w:rPr>
        <w:t>g</w:t>
      </w:r>
      <w:r w:rsidR="00A05085" w:rsidRPr="00A906E4">
        <w:rPr>
          <w:rFonts w:cstheme="minorHAnsi"/>
          <w:sz w:val="24"/>
          <w:szCs w:val="24"/>
        </w:rPr>
        <w:t>odinu</w:t>
      </w:r>
    </w:p>
    <w:p w14:paraId="5D88936B" w14:textId="77777777" w:rsidR="00F331EB" w:rsidRPr="00A906E4" w:rsidRDefault="00F331EB" w:rsidP="00A077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B8C53E6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14:paraId="317B8B34" w14:textId="77777777"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6B980BE6" w14:textId="77777777"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14:paraId="430D77BB" w14:textId="77777777" w:rsidR="00922945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njegovanje antifašističkih vrijednosti;</w:t>
      </w:r>
    </w:p>
    <w:p w14:paraId="76B72077" w14:textId="77777777"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14:paraId="6A6565C5" w14:textId="77777777"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14:paraId="4EFE302D" w14:textId="77777777"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14:paraId="088B009F" w14:textId="77777777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7A3982C" w14:textId="77777777"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14:paraId="3A11A39B" w14:textId="77777777" w:rsidR="00455BB4" w:rsidRPr="00A906E4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njegovanje antifašističkih vrijednosti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14:paraId="51BE400F" w14:textId="77777777" w:rsidR="00455BB4" w:rsidRPr="00A906E4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14:paraId="49424238" w14:textId="77777777" w:rsidR="008F302B" w:rsidRPr="008F302B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4.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</w:p>
    <w:p w14:paraId="0AAC559F" w14:textId="7EB8DB62" w:rsidR="00455BB4" w:rsidRPr="00A906E4" w:rsidRDefault="008F302B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5.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  <w:r w:rsidR="007408A7">
        <w:rPr>
          <w:rFonts w:cstheme="minorHAnsi"/>
          <w:color w:val="0070C0"/>
          <w:sz w:val="24"/>
          <w:szCs w:val="24"/>
        </w:rPr>
        <w:t>Programi i projekti usmjereni na z</w:t>
      </w:r>
      <w:r>
        <w:rPr>
          <w:rFonts w:cstheme="minorHAnsi"/>
          <w:color w:val="0070C0"/>
          <w:sz w:val="24"/>
          <w:szCs w:val="24"/>
        </w:rPr>
        <w:t>aštit</w:t>
      </w:r>
      <w:r w:rsidR="007408A7">
        <w:rPr>
          <w:rFonts w:cstheme="minorHAnsi"/>
          <w:color w:val="0070C0"/>
          <w:sz w:val="24"/>
          <w:szCs w:val="24"/>
        </w:rPr>
        <w:t>u</w:t>
      </w:r>
      <w:r>
        <w:rPr>
          <w:rFonts w:cstheme="minorHAnsi"/>
          <w:color w:val="0070C0"/>
          <w:sz w:val="24"/>
          <w:szCs w:val="24"/>
        </w:rPr>
        <w:t xml:space="preserve"> potrošača (s</w:t>
      </w:r>
      <w:r w:rsidRPr="00A906E4">
        <w:rPr>
          <w:rFonts w:cstheme="minorHAnsi"/>
          <w:color w:val="0070C0"/>
          <w:sz w:val="24"/>
          <w:szCs w:val="24"/>
        </w:rPr>
        <w:t>avjetovanje, informiranje i izobrazba potrošača</w:t>
      </w:r>
      <w:r>
        <w:rPr>
          <w:rFonts w:cstheme="minorHAnsi"/>
          <w:color w:val="0070C0"/>
          <w:sz w:val="24"/>
          <w:szCs w:val="24"/>
        </w:rPr>
        <w:t>);</w:t>
      </w:r>
    </w:p>
    <w:p w14:paraId="105D63E5" w14:textId="112E0646" w:rsidR="004E1813" w:rsidRPr="009045CA" w:rsidRDefault="008F302B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6</w:t>
      </w:r>
      <w:r w:rsidR="007D176C" w:rsidRPr="00A906E4">
        <w:rPr>
          <w:rFonts w:cstheme="minorHAnsi"/>
          <w:color w:val="0070C0"/>
          <w:sz w:val="24"/>
          <w:szCs w:val="24"/>
        </w:rPr>
        <w:t xml:space="preserve">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  <w:r w:rsidR="001639FC">
        <w:rPr>
          <w:rFonts w:cstheme="minorHAnsi"/>
          <w:color w:val="0070C0"/>
          <w:sz w:val="24"/>
          <w:szCs w:val="24"/>
        </w:rPr>
        <w:t>.</w:t>
      </w:r>
    </w:p>
    <w:p w14:paraId="2DB36820" w14:textId="77777777" w:rsidR="009045CA" w:rsidRPr="009045CA" w:rsidRDefault="009045CA" w:rsidP="009045CA">
      <w:p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69CE0555" w14:textId="77777777"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0AA13D3F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7777777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5978541C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3932C7">
        <w:rPr>
          <w:rFonts w:asciiTheme="minorHAnsi" w:hAnsiTheme="minorHAnsi" w:cstheme="minorHAnsi"/>
          <w:sz w:val="24"/>
          <w:szCs w:val="24"/>
        </w:rPr>
        <w:t>1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3932C7">
        <w:rPr>
          <w:rFonts w:asciiTheme="minorHAnsi" w:hAnsiTheme="minorHAnsi" w:cstheme="minorHAnsi"/>
          <w:sz w:val="24"/>
          <w:szCs w:val="24"/>
        </w:rPr>
        <w:t>2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77777777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14:paraId="185B9C0B" w14:textId="77777777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56E006E4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2D7273">
        <w:rPr>
          <w:rFonts w:cstheme="minorHAnsi"/>
          <w:sz w:val="24"/>
          <w:szCs w:val="24"/>
        </w:rPr>
        <w:t>2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77777777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0D0E1A4D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2D7273">
        <w:rPr>
          <w:rFonts w:eastAsia="Times New Roman" w:cstheme="minorHAnsi"/>
          <w:sz w:val="24"/>
          <w:szCs w:val="24"/>
          <w:lang w:eastAsia="hr-HR"/>
        </w:rPr>
        <w:t>3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10CAF5" w14:textId="77777777"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4D9DCEE" w14:textId="77777777" w:rsidR="00A97275" w:rsidRDefault="00A97275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6F2C3E25" w14:textId="77777777"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lastRenderedPageBreak/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77777777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troškovi smještaja (osim u slučaju  višednevnih i međunarodnih programa ili u drugim iznimnim slučajevima kada se kroz pregovaranje s Gradom ti troškovi ili njihov dio  </w:t>
      </w: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77777777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 Obrasci natječajne dokumentacije za v</w:t>
      </w:r>
      <w:r w:rsidR="004D1917" w:rsidRPr="00A906E4">
        <w:rPr>
          <w:rFonts w:cstheme="minorHAnsi"/>
          <w:sz w:val="24"/>
          <w:szCs w:val="24"/>
        </w:rPr>
        <w:t>rijeme trajanja j</w:t>
      </w:r>
      <w:r w:rsidR="00F245B1" w:rsidRPr="00A906E4">
        <w:rPr>
          <w:rFonts w:cstheme="minorHAnsi"/>
          <w:sz w:val="24"/>
          <w:szCs w:val="24"/>
        </w:rPr>
        <w:t>avnog poziva</w:t>
      </w:r>
      <w:r w:rsidRPr="00A906E4">
        <w:rPr>
          <w:rFonts w:cstheme="minorHAnsi"/>
          <w:sz w:val="24"/>
          <w:szCs w:val="24"/>
        </w:rPr>
        <w:t xml:space="preserve"> mogu se preuzeti</w:t>
      </w:r>
      <w:r w:rsidR="00F245B1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u Upravnom </w:t>
      </w:r>
      <w:r w:rsidR="00F245B1" w:rsidRPr="00A906E4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A906E4">
        <w:rPr>
          <w:rFonts w:cstheme="minorHAnsi"/>
          <w:sz w:val="24"/>
          <w:szCs w:val="24"/>
        </w:rPr>
        <w:t xml:space="preserve"> Grada Novske , soba broj  208.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77777777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lastRenderedPageBreak/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77777777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DF2704" w:rsidRPr="00DF2704">
        <w:t xml:space="preserve"> </w:t>
      </w:r>
      <w:hyperlink r:id="rId9" w:anchor="!udruge" w:history="1">
        <w:r w:rsidR="00DF2704"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77777777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B46ED49" w14:textId="5CF662F2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 xml:space="preserve">Obvezna natječajna dokumentacija za prijavu projekata </w:t>
      </w:r>
      <w:r>
        <w:rPr>
          <w:rFonts w:eastAsia="Times New Roman" w:cstheme="minorHAnsi"/>
          <w:b/>
          <w:snapToGrid w:val="0"/>
          <w:sz w:val="24"/>
          <w:szCs w:val="24"/>
        </w:rPr>
        <w:t xml:space="preserve">za obnovu i uređenje sakralnih objekata </w:t>
      </w:r>
      <w:r w:rsidRPr="00221A7F">
        <w:rPr>
          <w:rFonts w:eastAsia="Times New Roman" w:cstheme="minorHAnsi"/>
          <w:b/>
          <w:snapToGrid w:val="0"/>
          <w:sz w:val="24"/>
          <w:szCs w:val="24"/>
        </w:rPr>
        <w:t>je:</w:t>
      </w:r>
    </w:p>
    <w:p w14:paraId="0B09DD38" w14:textId="77777777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785CB4" w14:textId="2B599EBE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</w:t>
      </w:r>
      <w:r>
        <w:rPr>
          <w:rFonts w:eastAsia="Times New Roman" w:cstheme="minorHAnsi"/>
          <w:snapToGrid w:val="0"/>
          <w:sz w:val="24"/>
          <w:szCs w:val="24"/>
        </w:rPr>
        <w:t xml:space="preserve"> (Obrazac 3)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14:paraId="68891112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6D60DBC5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37DBF48D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 ili sličan dokaz-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(isprintani izvadak iz registra);</w:t>
      </w:r>
    </w:p>
    <w:p w14:paraId="0C4192ED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4AAE4F6F" w14:textId="18026896" w:rsidR="00AD18EC" w:rsidRPr="002020DB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</w:t>
      </w:r>
      <w:r w:rsidR="00C23FA6" w:rsidRPr="00A906E4">
        <w:rPr>
          <w:rFonts w:eastAsia="Times New Roman" w:cstheme="minorHAnsi"/>
          <w:snapToGrid w:val="0"/>
          <w:sz w:val="24"/>
          <w:szCs w:val="24"/>
        </w:rPr>
        <w:t>, ne stariji od 6 mjeseci</w:t>
      </w:r>
      <w:r w:rsidRPr="002020DB">
        <w:rPr>
          <w:rFonts w:cstheme="minorHAnsi"/>
          <w:sz w:val="24"/>
          <w:szCs w:val="24"/>
        </w:rPr>
        <w:t>.</w:t>
      </w:r>
    </w:p>
    <w:p w14:paraId="1CFC6F4F" w14:textId="77777777" w:rsidR="00AD18EC" w:rsidRPr="00A906E4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BA9853C" w14:textId="77777777"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066B5AE8"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</w:t>
      </w:r>
      <w:r w:rsidR="00E646F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F3186B">
        <w:rPr>
          <w:rFonts w:cstheme="minorHAnsi"/>
          <w:sz w:val="24"/>
          <w:szCs w:val="24"/>
        </w:rPr>
        <w:t>18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A52CDD">
        <w:rPr>
          <w:rFonts w:cstheme="minorHAnsi"/>
          <w:sz w:val="24"/>
          <w:szCs w:val="24"/>
        </w:rPr>
        <w:t>siječnja</w:t>
      </w:r>
      <w:r w:rsidR="00BA33C8" w:rsidRPr="00A906E4">
        <w:rPr>
          <w:rFonts w:cstheme="minorHAnsi"/>
          <w:sz w:val="24"/>
          <w:szCs w:val="24"/>
        </w:rPr>
        <w:t xml:space="preserve"> 20</w:t>
      </w:r>
      <w:r w:rsidR="00A52CDD">
        <w:rPr>
          <w:rFonts w:cstheme="minorHAnsi"/>
          <w:sz w:val="24"/>
          <w:szCs w:val="24"/>
        </w:rPr>
        <w:t>2</w:t>
      </w:r>
      <w:r w:rsidR="00E646F1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5296E9CD"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F3186B" w:rsidRPr="00F3186B">
        <w:rPr>
          <w:rFonts w:cstheme="minorHAnsi"/>
          <w:sz w:val="24"/>
          <w:szCs w:val="24"/>
        </w:rPr>
        <w:t>17</w:t>
      </w:r>
      <w:r w:rsidR="00BA33C8" w:rsidRPr="00F3186B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</w:t>
      </w:r>
      <w:r w:rsidR="000F55CE">
        <w:rPr>
          <w:rFonts w:cstheme="minorHAnsi"/>
          <w:sz w:val="24"/>
          <w:szCs w:val="24"/>
        </w:rPr>
        <w:t xml:space="preserve"> 202</w:t>
      </w:r>
      <w:r w:rsidR="00E646F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godine.</w:t>
      </w:r>
    </w:p>
    <w:p w14:paraId="0E62E600" w14:textId="35E49821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F3186B" w:rsidRPr="00F3186B">
        <w:rPr>
          <w:rFonts w:cstheme="minorHAnsi"/>
          <w:sz w:val="24"/>
          <w:szCs w:val="24"/>
        </w:rPr>
        <w:t>17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0F55CE">
        <w:rPr>
          <w:rFonts w:cstheme="minorHAnsi"/>
          <w:sz w:val="24"/>
          <w:szCs w:val="24"/>
        </w:rPr>
        <w:t>veljače 202</w:t>
      </w:r>
      <w:r w:rsidR="00E646F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31E49F2" w14:textId="3220E16D" w:rsidR="00A97275" w:rsidRPr="00A906E4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F3186B" w:rsidRPr="00F3186B">
        <w:rPr>
          <w:rFonts w:cstheme="minorHAnsi"/>
          <w:sz w:val="24"/>
          <w:szCs w:val="24"/>
        </w:rPr>
        <w:t>17</w:t>
      </w:r>
      <w:r w:rsidRPr="00F3186B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veljače 202</w:t>
      </w:r>
      <w:r w:rsidR="003A341C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70AF8E7B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DA413A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lastRenderedPageBreak/>
        <w:t>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316EA176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</w:t>
      </w:r>
      <w:r w:rsidR="00CF6F50">
        <w:rPr>
          <w:rFonts w:cstheme="minorHAnsi"/>
          <w:b/>
          <w:sz w:val="24"/>
          <w:szCs w:val="24"/>
        </w:rPr>
        <w:t>O</w:t>
      </w:r>
      <w:r w:rsidR="00F80DC2">
        <w:rPr>
          <w:rFonts w:cstheme="minorHAnsi"/>
          <w:b/>
          <w:sz w:val="24"/>
          <w:szCs w:val="24"/>
        </w:rPr>
        <w:t>bnova</w:t>
      </w:r>
      <w:r w:rsidR="004F603B">
        <w:rPr>
          <w:rFonts w:cstheme="minorHAnsi"/>
          <w:b/>
          <w:sz w:val="24"/>
          <w:szCs w:val="24"/>
        </w:rPr>
        <w:t xml:space="preserve"> i uređenje</w:t>
      </w:r>
      <w:r w:rsidR="00F80DC2">
        <w:rPr>
          <w:rFonts w:cstheme="minorHAnsi"/>
          <w:b/>
          <w:sz w:val="24"/>
          <w:szCs w:val="24"/>
        </w:rPr>
        <w:t xml:space="preserve"> sakralnih objekata</w:t>
      </w:r>
      <w:r w:rsidRPr="00A906E4">
        <w:rPr>
          <w:rFonts w:cstheme="minorHAnsi"/>
          <w:b/>
          <w:sz w:val="24"/>
          <w:szCs w:val="24"/>
        </w:rPr>
        <w:t>,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  <w:r w:rsidR="00A97275">
        <w:rPr>
          <w:rFonts w:cs="Calibri"/>
          <w:b/>
          <w:sz w:val="24"/>
          <w:szCs w:val="24"/>
          <w:u w:val="single"/>
        </w:rPr>
        <w:t>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6978B083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„PRIJAVA  NA JAVNI POZIV - PROGRAMI I PROJEKTI UDRUGA ZA ZADOVOLJAVANJE JAVNIH POTREBA  NA PODRUČJU GRADA NOVSKE U  20</w:t>
      </w:r>
      <w:r>
        <w:rPr>
          <w:rFonts w:cstheme="minorHAnsi"/>
          <w:b/>
          <w:sz w:val="24"/>
          <w:szCs w:val="24"/>
        </w:rPr>
        <w:t>2</w:t>
      </w:r>
      <w:r w:rsidR="00CF6F50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 GODINI</w:t>
      </w:r>
      <w:r>
        <w:rPr>
          <w:rFonts w:cstheme="minorHAnsi"/>
          <w:b/>
          <w:sz w:val="24"/>
          <w:szCs w:val="24"/>
        </w:rPr>
        <w:t>“,</w:t>
      </w:r>
    </w:p>
    <w:p w14:paraId="6D974855" w14:textId="3A8FB25D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</w:t>
      </w:r>
      <w:r w:rsidR="00CF6F50">
        <w:rPr>
          <w:rFonts w:cstheme="minorHAnsi"/>
          <w:b/>
          <w:sz w:val="24"/>
          <w:szCs w:val="24"/>
        </w:rPr>
        <w:t>Obnova</w:t>
      </w:r>
      <w:r w:rsidR="005166D7">
        <w:rPr>
          <w:rFonts w:cstheme="minorHAnsi"/>
          <w:b/>
          <w:sz w:val="24"/>
          <w:szCs w:val="24"/>
        </w:rPr>
        <w:t xml:space="preserve"> i uređenje</w:t>
      </w:r>
      <w:r w:rsidR="00CF6F50">
        <w:rPr>
          <w:rFonts w:cstheme="minorHAnsi"/>
          <w:b/>
          <w:sz w:val="24"/>
          <w:szCs w:val="24"/>
        </w:rPr>
        <w:t xml:space="preserve"> sakralnih objekata</w:t>
      </w:r>
      <w:r w:rsidRPr="00A906E4">
        <w:rPr>
          <w:rFonts w:cstheme="minorHAnsi"/>
          <w:b/>
          <w:sz w:val="24"/>
          <w:szCs w:val="24"/>
        </w:rPr>
        <w:t>, Djeca i mladež i sl.)</w:t>
      </w:r>
      <w:r w:rsidRPr="00CA5ED9">
        <w:rPr>
          <w:rFonts w:cs="Calibri"/>
          <w:b/>
          <w:sz w:val="24"/>
          <w:szCs w:val="24"/>
        </w:rPr>
        <w:t xml:space="preserve"> </w:t>
      </w:r>
      <w:r w:rsidRPr="009F0F41">
        <w:rPr>
          <w:rFonts w:cs="Calibri"/>
          <w:b/>
          <w:sz w:val="24"/>
          <w:szCs w:val="24"/>
        </w:rPr>
        <w:t xml:space="preserve">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  <w:r w:rsidR="00C61854">
        <w:rPr>
          <w:rFonts w:cs="Calibri"/>
          <w:b/>
          <w:sz w:val="24"/>
          <w:szCs w:val="24"/>
          <w:u w:val="single"/>
        </w:rPr>
        <w:t>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3370A8EE" w14:textId="77777777"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77777777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4B796A2E" w14:textId="77777777"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77777777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7A80232" w14:textId="77777777"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722995BE" w14:textId="37966720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B0413">
        <w:rPr>
          <w:rFonts w:cstheme="minorHAnsi"/>
          <w:sz w:val="24"/>
          <w:szCs w:val="24"/>
        </w:rPr>
        <w:t>1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B0413">
        <w:rPr>
          <w:rFonts w:cstheme="minorHAnsi"/>
          <w:sz w:val="24"/>
          <w:szCs w:val="24"/>
        </w:rPr>
        <w:t>2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77777777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14:paraId="516B9E48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14:paraId="28A41503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14:paraId="0AE70B85" w14:textId="77777777" w:rsidR="00290F2C" w:rsidRPr="00A906E4" w:rsidRDefault="00290F2C" w:rsidP="00290F2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14:paraId="5CB1A4D6" w14:textId="2191C66A" w:rsidR="00290F2C" w:rsidRPr="00A906E4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– OBNOVA I </w:t>
      </w:r>
      <w:r w:rsidR="00000565">
        <w:rPr>
          <w:rFonts w:cstheme="minorHAnsi"/>
          <w:sz w:val="24"/>
          <w:szCs w:val="24"/>
        </w:rPr>
        <w:t>UREĐENJE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260D9670" w14:textId="77777777" w:rsidR="00290F2C" w:rsidRPr="00A906E4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 – OSTALA PODRUČJA JAVNOG POZIVA</w:t>
      </w:r>
    </w:p>
    <w:p w14:paraId="1CB17705" w14:textId="52A32C70"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>, gradonačelni</w:t>
      </w:r>
      <w:r w:rsidR="00FE6E37">
        <w:rPr>
          <w:rFonts w:cstheme="minorHAnsi"/>
          <w:sz w:val="24"/>
          <w:szCs w:val="24"/>
        </w:rPr>
        <w:t>ca</w:t>
      </w:r>
      <w:r w:rsidR="00903434" w:rsidRPr="00A906E4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D946F1">
        <w:rPr>
          <w:rFonts w:cstheme="minorHAnsi"/>
          <w:sz w:val="24"/>
          <w:szCs w:val="24"/>
        </w:rPr>
        <w:t>3</w:t>
      </w:r>
      <w:r w:rsidR="00976E1D" w:rsidRPr="00A906E4">
        <w:rPr>
          <w:rFonts w:cstheme="minorHAnsi"/>
          <w:sz w:val="24"/>
          <w:szCs w:val="24"/>
        </w:rPr>
        <w:t xml:space="preserve">.  godini provoditi programe/projekte kojima će se zadovoljavati javne potrebe Grada Novske u području </w:t>
      </w:r>
      <w:r w:rsidR="00D946F1" w:rsidRPr="00A906E4">
        <w:rPr>
          <w:rFonts w:cstheme="minorHAnsi"/>
          <w:sz w:val="24"/>
          <w:szCs w:val="24"/>
        </w:rPr>
        <w:t xml:space="preserve">obnove i </w:t>
      </w:r>
      <w:r w:rsidR="00000565">
        <w:rPr>
          <w:rFonts w:cstheme="minorHAnsi"/>
          <w:sz w:val="24"/>
          <w:szCs w:val="24"/>
        </w:rPr>
        <w:t>uređenje</w:t>
      </w:r>
      <w:r w:rsidR="00D946F1" w:rsidRPr="00A906E4">
        <w:rPr>
          <w:rFonts w:cstheme="minorHAnsi"/>
          <w:sz w:val="24"/>
          <w:szCs w:val="24"/>
        </w:rPr>
        <w:t xml:space="preserve"> sakralne baštine</w:t>
      </w:r>
      <w:r w:rsidR="00D946F1">
        <w:rPr>
          <w:rFonts w:cstheme="minorHAnsi"/>
          <w:sz w:val="24"/>
          <w:szCs w:val="24"/>
        </w:rPr>
        <w:t>,</w:t>
      </w:r>
      <w:r w:rsidR="00976E1D" w:rsidRPr="00A906E4">
        <w:rPr>
          <w:rFonts w:cstheme="minorHAnsi"/>
          <w:sz w:val="24"/>
          <w:szCs w:val="24"/>
        </w:rPr>
        <w:t xml:space="preserve"> 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14:paraId="4401BC20" w14:textId="77777777"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14:paraId="119AE554" w14:textId="77777777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7E5C88DA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14:paraId="3EFAFC05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A32A27" w14:textId="39E20E9A"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</w:t>
      </w:r>
      <w:r w:rsidR="008F302B">
        <w:rPr>
          <w:rFonts w:eastAsia="Times New Roman" w:cstheme="minorHAnsi"/>
          <w:sz w:val="24"/>
          <w:szCs w:val="24"/>
          <w:lang w:eastAsia="hr-HR"/>
        </w:rPr>
        <w:t>ca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donosi Odluku o odabiru programa/projekata kojima se odobravaju sredstva za financiranje/sufinanciranje.</w:t>
      </w:r>
    </w:p>
    <w:p w14:paraId="3794E7F2" w14:textId="77777777"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692F738" w14:textId="77777777"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14:paraId="2F23040C" w14:textId="77777777"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5F1EFE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34DFEB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14:paraId="087F3F13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A36364" w14:textId="77777777" w:rsidR="00976E1D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35A3100E" w14:textId="77777777"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lastRenderedPageBreak/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14:paraId="4BABA8D9" w14:textId="77777777"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797CC7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36B4A002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E0B16C7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A75A617" w14:textId="77777777"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E717302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155E57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513350" w14:textId="77777777"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12A7488" w14:textId="77777777"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5518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77777777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01DDCC51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77777777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3BE750F3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D946F1">
        <w:rPr>
          <w:rFonts w:cstheme="minorHAnsi"/>
          <w:sz w:val="24"/>
          <w:szCs w:val="24"/>
        </w:rPr>
        <w:t>4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946F1">
        <w:rPr>
          <w:rFonts w:cstheme="minorHAnsi"/>
          <w:sz w:val="24"/>
          <w:szCs w:val="24"/>
        </w:rPr>
        <w:t>3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003EE652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30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5FC7D927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E94D58">
        <w:rPr>
          <w:rFonts w:cstheme="minorHAnsi"/>
          <w:sz w:val="24"/>
          <w:szCs w:val="24"/>
        </w:rPr>
        <w:t>4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E94D58">
        <w:rPr>
          <w:rFonts w:cstheme="minorHAnsi"/>
          <w:sz w:val="24"/>
          <w:szCs w:val="24"/>
        </w:rPr>
        <w:t>3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764B1DF8" w14:textId="77777777"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14:paraId="3AC9B924" w14:textId="28074B78" w:rsidR="005C1626" w:rsidRPr="00A906E4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EF4112">
        <w:rPr>
          <w:rFonts w:cstheme="minorHAnsi"/>
          <w:sz w:val="24"/>
          <w:szCs w:val="24"/>
        </w:rPr>
        <w:t>3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14:paraId="67D07244" w14:textId="77777777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575BF5CA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14:paraId="7DF132BA" w14:textId="272E2FC3"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Sredstva za financiranje projekta/programa udruge mogu se isplatiti na račun Korisnika temeljem zaključenog ugovora o financiranju, a ranija isplata sredstava, temeljem zaključenog ugovora o isplati akontacijskih sredstava između Korisnika i Gradonačelni</w:t>
      </w:r>
      <w:r w:rsidR="00490282">
        <w:rPr>
          <w:rFonts w:eastAsia="Times New Roman" w:cstheme="minorHAnsi"/>
          <w:sz w:val="24"/>
          <w:szCs w:val="24"/>
          <w:lang w:eastAsia="hr-HR"/>
        </w:rPr>
        <w:t>ce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može se izvršiti samo pod sljedećim uvjetima koji kumulativno moraju biti ispunjeni i to: </w:t>
      </w:r>
    </w:p>
    <w:p w14:paraId="2933FC70" w14:textId="77777777"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6819B2" w14:textId="77777777"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14:paraId="16AEA6AC" w14:textId="77777777"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14:paraId="453CC244" w14:textId="77777777"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14:paraId="46F583DE" w14:textId="77777777"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C24B1D">
        <w:rPr>
          <w:rFonts w:eastAsia="Times New Roman" w:cstheme="minorHAnsi"/>
          <w:sz w:val="24"/>
          <w:szCs w:val="24"/>
          <w:lang w:eastAsia="hr-HR"/>
        </w:rPr>
        <w:t>.</w:t>
      </w:r>
    </w:p>
    <w:p w14:paraId="53D0BB55" w14:textId="77777777"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3D1F1AFD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AE2F36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AE2F36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61FA2881" w14:textId="77777777"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77777777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63774E51" w14:textId="72BF76B3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3 -  PRIJAVNI OBRAZAC – obnova i </w:t>
      </w:r>
      <w:r w:rsidR="00000565">
        <w:rPr>
          <w:rFonts w:cstheme="minorHAnsi"/>
          <w:sz w:val="24"/>
          <w:szCs w:val="24"/>
        </w:rPr>
        <w:t>uređenje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73047188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4 -  Izjava o partnerstvu (ako je primjenjivo)</w:t>
      </w:r>
    </w:p>
    <w:p w14:paraId="0C847521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5 – Izjava o nepostojanju dvostrukog financiranja</w:t>
      </w:r>
    </w:p>
    <w:p w14:paraId="508E3D3E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14:paraId="7BD04D95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7 – Zahtjev za isplatu sredstava</w:t>
      </w:r>
    </w:p>
    <w:p w14:paraId="013D5A13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8  - Opisni izvještaj projekta</w:t>
      </w:r>
    </w:p>
    <w:p w14:paraId="29B531A4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9  - Financijski izvještaj projekta</w:t>
      </w:r>
    </w:p>
    <w:p w14:paraId="273E36E6" w14:textId="282C1DC3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1 -  Obnova i </w:t>
      </w:r>
      <w:r w:rsidR="00000565">
        <w:rPr>
          <w:rFonts w:cstheme="minorHAnsi"/>
          <w:sz w:val="24"/>
          <w:szCs w:val="24"/>
        </w:rPr>
        <w:t xml:space="preserve">uređenje </w:t>
      </w:r>
      <w:r w:rsidRPr="00A906E4">
        <w:rPr>
          <w:rFonts w:cstheme="minorHAnsi"/>
          <w:sz w:val="24"/>
          <w:szCs w:val="24"/>
        </w:rPr>
        <w:t>sakralnih objekata</w:t>
      </w:r>
    </w:p>
    <w:p w14:paraId="18CCDE20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2 -  Ostala područja javnog poziva</w:t>
      </w:r>
    </w:p>
    <w:p w14:paraId="0672352D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198ABC9" w14:textId="77777777"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14:paraId="0903280C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14:paraId="1EDEA896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592408B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566FECD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4C5F24" w:rsidRPr="00A906E4" w14:paraId="67B780FF" w14:textId="77777777" w:rsidTr="00457A74">
        <w:tc>
          <w:tcPr>
            <w:tcW w:w="7400" w:type="dxa"/>
            <w:shd w:val="clear" w:color="auto" w:fill="FFFFFF" w:themeFill="background1"/>
          </w:tcPr>
          <w:p w14:paraId="5EF65536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2B2FE6D7" w14:textId="2086B612" w:rsidR="004C5F24" w:rsidRPr="00A906E4" w:rsidRDefault="00000565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18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01.202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14:paraId="2C110796" w14:textId="77777777" w:rsidTr="00457A74">
        <w:tc>
          <w:tcPr>
            <w:tcW w:w="7400" w:type="dxa"/>
            <w:shd w:val="clear" w:color="auto" w:fill="FFFFFF" w:themeFill="background1"/>
          </w:tcPr>
          <w:p w14:paraId="05DCAE00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7E0BF709" w14:textId="1B52F68C" w:rsidR="004C5F24" w:rsidRPr="00A906E4" w:rsidRDefault="00000565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17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14:paraId="4D3CB0FA" w14:textId="77777777" w:rsidTr="00457A74">
        <w:tc>
          <w:tcPr>
            <w:tcW w:w="7400" w:type="dxa"/>
            <w:shd w:val="clear" w:color="auto" w:fill="FFFFFF" w:themeFill="background1"/>
          </w:tcPr>
          <w:p w14:paraId="245CCDF3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14:paraId="1755AF8F" w14:textId="34CB57ED" w:rsidR="004C5F24" w:rsidRPr="00D40B59" w:rsidRDefault="00000565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2.202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  </w:t>
            </w:r>
          </w:p>
        </w:tc>
      </w:tr>
      <w:tr w:rsidR="004C5F24" w:rsidRPr="00A906E4" w14:paraId="7F728066" w14:textId="77777777" w:rsidTr="00457A74">
        <w:tc>
          <w:tcPr>
            <w:tcW w:w="7400" w:type="dxa"/>
            <w:shd w:val="clear" w:color="auto" w:fill="FFFFFF" w:themeFill="background1"/>
          </w:tcPr>
          <w:p w14:paraId="2C5E5138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395EA87C" w14:textId="47F81AFA" w:rsidR="004C5F24" w:rsidRPr="00D40B59" w:rsidRDefault="00000565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AE0615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</w:t>
            </w:r>
          </w:p>
        </w:tc>
      </w:tr>
      <w:tr w:rsidR="004C5F24" w:rsidRPr="00A906E4" w14:paraId="04428FA9" w14:textId="77777777" w:rsidTr="00457A74">
        <w:tc>
          <w:tcPr>
            <w:tcW w:w="7400" w:type="dxa"/>
            <w:shd w:val="clear" w:color="auto" w:fill="FFFFFF" w:themeFill="background1"/>
          </w:tcPr>
          <w:p w14:paraId="66B4C3B6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3FC5044B" w14:textId="13A42299" w:rsidR="004C5F24" w:rsidRPr="00A906E4" w:rsidRDefault="00CB2323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2C5B5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A59B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14:paraId="5C743F66" w14:textId="77777777" w:rsidTr="00457A74">
        <w:tc>
          <w:tcPr>
            <w:tcW w:w="7400" w:type="dxa"/>
            <w:shd w:val="clear" w:color="auto" w:fill="FFFFFF" w:themeFill="background1"/>
          </w:tcPr>
          <w:p w14:paraId="088DF4C7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8F43A7A" w14:textId="38AB56F1" w:rsidR="004C5F24" w:rsidRPr="00A906E4" w:rsidRDefault="00A56DA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8E264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202</w:t>
            </w:r>
            <w:r w:rsidR="007A59B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</w:p>
        </w:tc>
      </w:tr>
      <w:tr w:rsidR="004C5F24" w:rsidRPr="00A906E4" w14:paraId="45B446E4" w14:textId="77777777" w:rsidTr="00457A74">
        <w:tc>
          <w:tcPr>
            <w:tcW w:w="7400" w:type="dxa"/>
            <w:shd w:val="clear" w:color="auto" w:fill="FFFFFF" w:themeFill="background1"/>
          </w:tcPr>
          <w:p w14:paraId="72B1072A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lastRenderedPageBreak/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C6CD1AB" w14:textId="63E8194A" w:rsidR="004C5F24" w:rsidRPr="00A906E4" w:rsidRDefault="002C5B55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1</w:t>
            </w:r>
            <w:r w:rsidR="00CB2323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8D41B2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8E264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277611">
              <w:rPr>
                <w:rFonts w:eastAsia="Times New Roman" w:cstheme="minorHAnsi"/>
                <w:snapToGrid w:val="0"/>
                <w:sz w:val="24"/>
                <w:szCs w:val="24"/>
              </w:rPr>
              <w:t>202</w:t>
            </w:r>
            <w:r w:rsidR="007A59B5">
              <w:rPr>
                <w:rFonts w:eastAsia="Times New Roman" w:cstheme="minorHAnsi"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14:paraId="044F57A0" w14:textId="77777777" w:rsidTr="00457A74">
        <w:tc>
          <w:tcPr>
            <w:tcW w:w="7400" w:type="dxa"/>
            <w:shd w:val="clear" w:color="auto" w:fill="FFFFFF" w:themeFill="background1"/>
          </w:tcPr>
          <w:p w14:paraId="30107464" w14:textId="77777777"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024DF8D3" w14:textId="7ECC5683" w:rsidR="004C5F24" w:rsidRPr="00A906E4" w:rsidRDefault="00DD1F3E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17</w:t>
            </w:r>
            <w:r w:rsidR="00D76EF3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. 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20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3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</w:tbl>
    <w:p w14:paraId="72E1459A" w14:textId="77777777"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6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14:paraId="473829C9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A7D085" w14:textId="77777777"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8891" w14:textId="77777777" w:rsidR="00567965" w:rsidRDefault="00567965" w:rsidP="006840F0">
      <w:pPr>
        <w:spacing w:before="0" w:after="0" w:line="240" w:lineRule="auto"/>
      </w:pPr>
      <w:r>
        <w:separator/>
      </w:r>
    </w:p>
  </w:endnote>
  <w:endnote w:type="continuationSeparator" w:id="0">
    <w:p w14:paraId="6D8D7A84" w14:textId="77777777" w:rsidR="00567965" w:rsidRDefault="00567965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BD16" w14:textId="77777777" w:rsidR="00567965" w:rsidRDefault="00567965" w:rsidP="006840F0">
      <w:pPr>
        <w:spacing w:before="0" w:after="0" w:line="240" w:lineRule="auto"/>
      </w:pPr>
      <w:r>
        <w:separator/>
      </w:r>
    </w:p>
  </w:footnote>
  <w:footnote w:type="continuationSeparator" w:id="0">
    <w:p w14:paraId="7264D669" w14:textId="77777777" w:rsidR="00567965" w:rsidRDefault="00567965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51A4"/>
    <w:rsid w:val="0001007E"/>
    <w:rsid w:val="00010936"/>
    <w:rsid w:val="00010E70"/>
    <w:rsid w:val="00013123"/>
    <w:rsid w:val="0001431D"/>
    <w:rsid w:val="00016EA2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71B63"/>
    <w:rsid w:val="00072CB4"/>
    <w:rsid w:val="000744F9"/>
    <w:rsid w:val="00076962"/>
    <w:rsid w:val="0008043A"/>
    <w:rsid w:val="00080583"/>
    <w:rsid w:val="00080C78"/>
    <w:rsid w:val="00080D7D"/>
    <w:rsid w:val="0008207B"/>
    <w:rsid w:val="000914D0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3B50"/>
    <w:rsid w:val="001148D9"/>
    <w:rsid w:val="00116D82"/>
    <w:rsid w:val="001249A0"/>
    <w:rsid w:val="001258F6"/>
    <w:rsid w:val="00136B16"/>
    <w:rsid w:val="00144FB8"/>
    <w:rsid w:val="00156404"/>
    <w:rsid w:val="00156626"/>
    <w:rsid w:val="0016360E"/>
    <w:rsid w:val="001639FC"/>
    <w:rsid w:val="001662D7"/>
    <w:rsid w:val="00172E35"/>
    <w:rsid w:val="00177D30"/>
    <w:rsid w:val="001834E8"/>
    <w:rsid w:val="00187168"/>
    <w:rsid w:val="001944D4"/>
    <w:rsid w:val="00194673"/>
    <w:rsid w:val="001A6860"/>
    <w:rsid w:val="001B1B40"/>
    <w:rsid w:val="001B2FF6"/>
    <w:rsid w:val="001B3DF6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90F2C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2C7"/>
    <w:rsid w:val="00393E32"/>
    <w:rsid w:val="00395DDD"/>
    <w:rsid w:val="003A190B"/>
    <w:rsid w:val="003A1A70"/>
    <w:rsid w:val="003A341C"/>
    <w:rsid w:val="003B0B1D"/>
    <w:rsid w:val="003B4442"/>
    <w:rsid w:val="003B7042"/>
    <w:rsid w:val="003B7766"/>
    <w:rsid w:val="003C14D4"/>
    <w:rsid w:val="003C3E79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3163"/>
    <w:rsid w:val="004139CB"/>
    <w:rsid w:val="00415AB3"/>
    <w:rsid w:val="004174E0"/>
    <w:rsid w:val="0042198B"/>
    <w:rsid w:val="00426E64"/>
    <w:rsid w:val="0042735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0282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4F603B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1ACF"/>
    <w:rsid w:val="00552B91"/>
    <w:rsid w:val="0055380A"/>
    <w:rsid w:val="00555439"/>
    <w:rsid w:val="005574A3"/>
    <w:rsid w:val="0056394A"/>
    <w:rsid w:val="005656A1"/>
    <w:rsid w:val="0056697D"/>
    <w:rsid w:val="00567965"/>
    <w:rsid w:val="00573F62"/>
    <w:rsid w:val="00574268"/>
    <w:rsid w:val="00582CDA"/>
    <w:rsid w:val="00587FA5"/>
    <w:rsid w:val="005908F5"/>
    <w:rsid w:val="00591D32"/>
    <w:rsid w:val="005A2DA0"/>
    <w:rsid w:val="005B2989"/>
    <w:rsid w:val="005C1437"/>
    <w:rsid w:val="005C1626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49D9"/>
    <w:rsid w:val="005F7D6B"/>
    <w:rsid w:val="00600F1C"/>
    <w:rsid w:val="00603898"/>
    <w:rsid w:val="006060C6"/>
    <w:rsid w:val="0061088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6D29"/>
    <w:rsid w:val="00661C22"/>
    <w:rsid w:val="00666DCA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41F7"/>
    <w:rsid w:val="006A4F3E"/>
    <w:rsid w:val="006A5CE9"/>
    <w:rsid w:val="006B2419"/>
    <w:rsid w:val="006B2DF8"/>
    <w:rsid w:val="006B393F"/>
    <w:rsid w:val="006B430E"/>
    <w:rsid w:val="006B7388"/>
    <w:rsid w:val="006B74B7"/>
    <w:rsid w:val="006B755D"/>
    <w:rsid w:val="006D35EB"/>
    <w:rsid w:val="006D450F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5DC0"/>
    <w:rsid w:val="00787C5F"/>
    <w:rsid w:val="00790DBC"/>
    <w:rsid w:val="00793BC9"/>
    <w:rsid w:val="00795153"/>
    <w:rsid w:val="007A59B5"/>
    <w:rsid w:val="007B0413"/>
    <w:rsid w:val="007B1C23"/>
    <w:rsid w:val="007B29A8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4A3"/>
    <w:rsid w:val="007E074E"/>
    <w:rsid w:val="007E3589"/>
    <w:rsid w:val="007E4968"/>
    <w:rsid w:val="007E7D74"/>
    <w:rsid w:val="007F2371"/>
    <w:rsid w:val="007F399E"/>
    <w:rsid w:val="00801195"/>
    <w:rsid w:val="008013FC"/>
    <w:rsid w:val="00802DE1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97965"/>
    <w:rsid w:val="008A29B4"/>
    <w:rsid w:val="008A2DD1"/>
    <w:rsid w:val="008A4904"/>
    <w:rsid w:val="008A5283"/>
    <w:rsid w:val="008B1C66"/>
    <w:rsid w:val="008B7CD8"/>
    <w:rsid w:val="008C1C7B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3077"/>
    <w:rsid w:val="00943E71"/>
    <w:rsid w:val="00945671"/>
    <w:rsid w:val="00945C9F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18EC"/>
    <w:rsid w:val="00AD4C8C"/>
    <w:rsid w:val="00AE0615"/>
    <w:rsid w:val="00AE09A7"/>
    <w:rsid w:val="00AE2F36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7091"/>
    <w:rsid w:val="00B87580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1854"/>
    <w:rsid w:val="00C64637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C5452"/>
    <w:rsid w:val="00CC57FF"/>
    <w:rsid w:val="00CD155D"/>
    <w:rsid w:val="00CD1D8F"/>
    <w:rsid w:val="00CD408C"/>
    <w:rsid w:val="00CD5F6F"/>
    <w:rsid w:val="00CD71BC"/>
    <w:rsid w:val="00CE05A7"/>
    <w:rsid w:val="00CE1489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814"/>
    <w:rsid w:val="00DB5A01"/>
    <w:rsid w:val="00DB5C4C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F1B5A"/>
    <w:rsid w:val="00DF2704"/>
    <w:rsid w:val="00DF680B"/>
    <w:rsid w:val="00DF69CE"/>
    <w:rsid w:val="00E03078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A66"/>
    <w:rsid w:val="00E94D58"/>
    <w:rsid w:val="00E9650C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112"/>
    <w:rsid w:val="00EF43FA"/>
    <w:rsid w:val="00EF77D5"/>
    <w:rsid w:val="00F03F13"/>
    <w:rsid w:val="00F069BC"/>
    <w:rsid w:val="00F15521"/>
    <w:rsid w:val="00F15E40"/>
    <w:rsid w:val="00F16952"/>
    <w:rsid w:val="00F245B1"/>
    <w:rsid w:val="00F256F3"/>
    <w:rsid w:val="00F26DFB"/>
    <w:rsid w:val="00F3186B"/>
    <w:rsid w:val="00F331EB"/>
    <w:rsid w:val="00F3515A"/>
    <w:rsid w:val="00F369BF"/>
    <w:rsid w:val="00F40D8A"/>
    <w:rsid w:val="00F46376"/>
    <w:rsid w:val="00F4732E"/>
    <w:rsid w:val="00F52BFB"/>
    <w:rsid w:val="00F53982"/>
    <w:rsid w:val="00F55394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70F4"/>
    <w:rsid w:val="00F77BE1"/>
    <w:rsid w:val="00F80DC2"/>
    <w:rsid w:val="00F811A5"/>
    <w:rsid w:val="00F81A6D"/>
    <w:rsid w:val="00F82936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stri.uprava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24</Pages>
  <Words>7910</Words>
  <Characters>45087</Characters>
  <Application>Microsoft Office Word</Application>
  <DocSecurity>0</DocSecurity>
  <Lines>375</Lines>
  <Paragraphs>105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68</cp:revision>
  <cp:lastPrinted>2023-01-18T10:55:00Z</cp:lastPrinted>
  <dcterms:created xsi:type="dcterms:W3CDTF">2023-01-12T11:17:00Z</dcterms:created>
  <dcterms:modified xsi:type="dcterms:W3CDTF">2023-01-18T11:04:00Z</dcterms:modified>
</cp:coreProperties>
</file>