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C02E" w14:textId="77777777" w:rsidR="0015298D" w:rsidRPr="009871A7" w:rsidRDefault="0015298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9871A7" w14:paraId="0DDBF8B9" w14:textId="77777777" w:rsidTr="00A43953">
        <w:tc>
          <w:tcPr>
            <w:tcW w:w="9062" w:type="dxa"/>
            <w:gridSpan w:val="2"/>
          </w:tcPr>
          <w:p w14:paraId="020B76C3" w14:textId="77777777" w:rsidR="0015298D" w:rsidRPr="009871A7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0CD7C659" w14:textId="77777777" w:rsidR="00750E4B" w:rsidRPr="009871A7" w:rsidRDefault="00750E4B" w:rsidP="00750E4B">
            <w:pPr>
              <w:jc w:val="center"/>
              <w:rPr>
                <w:rFonts w:cstheme="minorHAnsi"/>
                <w:bCs/>
              </w:rPr>
            </w:pPr>
            <w:r w:rsidRPr="009871A7">
              <w:rPr>
                <w:rFonts w:cstheme="minorHAnsi"/>
                <w:bCs/>
              </w:rPr>
              <w:t>OBRAZAC</w:t>
            </w:r>
          </w:p>
          <w:p w14:paraId="4CE0FDF4" w14:textId="54D0E139" w:rsidR="00862EB8" w:rsidRPr="009871A7" w:rsidRDefault="00855261" w:rsidP="00750E4B">
            <w:pPr>
              <w:jc w:val="center"/>
              <w:rPr>
                <w:rFonts w:cstheme="minorHAnsi"/>
                <w:bCs/>
              </w:rPr>
            </w:pPr>
            <w:r w:rsidRPr="009871A7">
              <w:rPr>
                <w:rFonts w:cstheme="minorHAnsi"/>
                <w:bCs/>
              </w:rPr>
              <w:t xml:space="preserve">sudjelovanja u savjetovanju o </w:t>
            </w:r>
            <w:r w:rsidR="009E77D4" w:rsidRPr="009871A7">
              <w:rPr>
                <w:rFonts w:cstheme="minorHAnsi"/>
                <w:bCs/>
              </w:rPr>
              <w:t>Nacrtu</w:t>
            </w:r>
            <w:r w:rsidR="00DD34E3" w:rsidRPr="009871A7">
              <w:rPr>
                <w:rFonts w:cstheme="minorHAnsi"/>
                <w:bCs/>
              </w:rPr>
              <w:t xml:space="preserve"> </w:t>
            </w:r>
            <w:r w:rsidR="00C6324F" w:rsidRPr="009871A7">
              <w:rPr>
                <w:rFonts w:cstheme="minorHAnsi"/>
                <w:bCs/>
              </w:rPr>
              <w:t>prijedloga o</w:t>
            </w:r>
            <w:r w:rsidR="00DB1EB2" w:rsidRPr="009871A7">
              <w:rPr>
                <w:rFonts w:cstheme="minorHAnsi"/>
                <w:bCs/>
              </w:rPr>
              <w:t>dluke</w:t>
            </w:r>
          </w:p>
          <w:p w14:paraId="6E7B5E42" w14:textId="7485C45A" w:rsidR="00750E4B" w:rsidRPr="009871A7" w:rsidRDefault="00E442A3" w:rsidP="00DB1EB2">
            <w:pPr>
              <w:jc w:val="center"/>
              <w:rPr>
                <w:rFonts w:cstheme="minorHAnsi"/>
                <w:bCs/>
              </w:rPr>
            </w:pPr>
            <w:r w:rsidRPr="009871A7">
              <w:rPr>
                <w:rFonts w:cstheme="minorHAnsi"/>
                <w:bCs/>
              </w:rPr>
              <w:t xml:space="preserve"> o </w:t>
            </w:r>
            <w:r w:rsidR="00B816DA" w:rsidRPr="009871A7">
              <w:rPr>
                <w:rFonts w:cstheme="minorHAnsi"/>
                <w:bCs/>
              </w:rPr>
              <w:t>grobljima</w:t>
            </w:r>
          </w:p>
        </w:tc>
      </w:tr>
      <w:tr w:rsidR="00750E4B" w:rsidRPr="009871A7" w14:paraId="4B650890" w14:textId="77777777" w:rsidTr="00A43953">
        <w:tc>
          <w:tcPr>
            <w:tcW w:w="9062" w:type="dxa"/>
            <w:gridSpan w:val="2"/>
          </w:tcPr>
          <w:p w14:paraId="4AE196AA" w14:textId="77777777" w:rsidR="0015298D" w:rsidRPr="009871A7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5B566BB0" w14:textId="189F0F06" w:rsidR="00E442A3" w:rsidRPr="009871A7" w:rsidRDefault="00C6324F" w:rsidP="00E442A3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Cs/>
              </w:rPr>
            </w:pPr>
            <w:r w:rsidRPr="009871A7">
              <w:rPr>
                <w:rFonts w:cstheme="minorHAnsi"/>
                <w:bCs/>
              </w:rPr>
              <w:t>N</w:t>
            </w:r>
            <w:r w:rsidR="00E442A3" w:rsidRPr="009871A7">
              <w:rPr>
                <w:rFonts w:cstheme="minorHAnsi"/>
                <w:bCs/>
              </w:rPr>
              <w:t xml:space="preserve">acrt prijedloga </w:t>
            </w:r>
            <w:r w:rsidR="00E442A3" w:rsidRPr="009871A7">
              <w:rPr>
                <w:rFonts w:eastAsia="Times New Roman" w:cstheme="minorHAnsi"/>
                <w:bCs/>
              </w:rPr>
              <w:t>odluke</w:t>
            </w:r>
            <w:r w:rsidR="00A920BD" w:rsidRPr="009871A7">
              <w:rPr>
                <w:rFonts w:cstheme="minorHAnsi"/>
                <w:bCs/>
              </w:rPr>
              <w:t xml:space="preserve"> o </w:t>
            </w:r>
            <w:r w:rsidR="00B816DA" w:rsidRPr="009871A7">
              <w:rPr>
                <w:rFonts w:cstheme="minorHAnsi"/>
                <w:bCs/>
              </w:rPr>
              <w:t xml:space="preserve">grobljima </w:t>
            </w:r>
            <w:r w:rsidR="00E442A3" w:rsidRPr="009871A7">
              <w:rPr>
                <w:rFonts w:cstheme="minorHAnsi"/>
                <w:bCs/>
              </w:rPr>
              <w:t>izradi</w:t>
            </w:r>
            <w:r w:rsidR="009871A7">
              <w:rPr>
                <w:rFonts w:cstheme="minorHAnsi"/>
                <w:bCs/>
              </w:rPr>
              <w:t>o</w:t>
            </w:r>
            <w:r w:rsidR="00E442A3" w:rsidRPr="009871A7">
              <w:rPr>
                <w:rFonts w:cstheme="minorHAnsi"/>
                <w:bCs/>
              </w:rPr>
              <w:t xml:space="preserve"> </w:t>
            </w:r>
            <w:r w:rsidR="009A691C" w:rsidRPr="009871A7">
              <w:rPr>
                <w:rFonts w:cstheme="minorHAnsi"/>
                <w:bCs/>
              </w:rPr>
              <w:t xml:space="preserve">je </w:t>
            </w:r>
            <w:r w:rsidR="00E442A3" w:rsidRPr="009871A7">
              <w:rPr>
                <w:rFonts w:cstheme="minorHAnsi"/>
                <w:bCs/>
              </w:rPr>
              <w:t xml:space="preserve">Upravni odjel za komunalni sustav, prostorno planiranje i zaštitu okoliša Grada Novske </w:t>
            </w:r>
            <w:r w:rsidR="00E442A3" w:rsidRPr="009871A7">
              <w:rPr>
                <w:rFonts w:eastAsia="Times New Roman" w:cstheme="minorHAnsi"/>
                <w:bCs/>
              </w:rPr>
              <w:t xml:space="preserve"> </w:t>
            </w:r>
          </w:p>
          <w:p w14:paraId="4B5DE035" w14:textId="1D6E1A47" w:rsidR="00146450" w:rsidRPr="009871A7" w:rsidRDefault="00146450" w:rsidP="00E442A3">
            <w:pPr>
              <w:tabs>
                <w:tab w:val="left" w:pos="8931"/>
              </w:tabs>
              <w:ind w:right="184"/>
              <w:rPr>
                <w:rFonts w:eastAsia="Times New Roman" w:cstheme="minorHAnsi"/>
                <w:bCs/>
              </w:rPr>
            </w:pPr>
          </w:p>
          <w:p w14:paraId="0AFDF322" w14:textId="5833F05C" w:rsidR="00F273A3" w:rsidRPr="009871A7" w:rsidRDefault="00F273A3" w:rsidP="00E442A3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Cs/>
              </w:rPr>
            </w:pPr>
          </w:p>
        </w:tc>
      </w:tr>
      <w:tr w:rsidR="0015298D" w:rsidRPr="009871A7" w14:paraId="03B00F02" w14:textId="77777777" w:rsidTr="00A43953">
        <w:trPr>
          <w:trHeight w:val="465"/>
        </w:trPr>
        <w:tc>
          <w:tcPr>
            <w:tcW w:w="4531" w:type="dxa"/>
            <w:tcBorders>
              <w:bottom w:val="single" w:sz="4" w:space="0" w:color="auto"/>
            </w:tcBorders>
          </w:tcPr>
          <w:p w14:paraId="4520453D" w14:textId="108E1D6A" w:rsidR="001D08B9" w:rsidRPr="009871A7" w:rsidRDefault="00982930" w:rsidP="00056DF5">
            <w:pPr>
              <w:rPr>
                <w:rFonts w:cstheme="minorHAnsi"/>
                <w:b/>
              </w:rPr>
            </w:pPr>
            <w:r w:rsidRPr="009871A7">
              <w:rPr>
                <w:rFonts w:cstheme="minorHAnsi"/>
                <w:b/>
              </w:rPr>
              <w:t xml:space="preserve">POČETAK SAVJETOVANJA:  </w:t>
            </w:r>
            <w:r w:rsidR="00B816DA" w:rsidRPr="009871A7">
              <w:rPr>
                <w:rFonts w:cstheme="minorHAnsi"/>
                <w:b/>
              </w:rPr>
              <w:t>4</w:t>
            </w:r>
            <w:r w:rsidR="00A920BD" w:rsidRPr="009871A7">
              <w:rPr>
                <w:rFonts w:cstheme="minorHAnsi"/>
                <w:b/>
              </w:rPr>
              <w:t>.</w:t>
            </w:r>
            <w:r w:rsidR="00B816DA" w:rsidRPr="009871A7">
              <w:rPr>
                <w:rFonts w:cstheme="minorHAnsi"/>
                <w:b/>
              </w:rPr>
              <w:t>11.</w:t>
            </w:r>
            <w:r w:rsidR="00F273A3" w:rsidRPr="009871A7">
              <w:rPr>
                <w:rFonts w:cstheme="minorHAnsi"/>
                <w:b/>
              </w:rPr>
              <w:t>2025.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20D099C" w14:textId="20934DB8" w:rsidR="00926629" w:rsidRPr="009871A7" w:rsidRDefault="00273DAF" w:rsidP="00C61903">
            <w:pPr>
              <w:jc w:val="center"/>
              <w:rPr>
                <w:rFonts w:cstheme="minorHAnsi"/>
                <w:b/>
              </w:rPr>
            </w:pPr>
            <w:r w:rsidRPr="009871A7">
              <w:rPr>
                <w:rFonts w:cstheme="minorHAnsi"/>
                <w:b/>
              </w:rPr>
              <w:t>ZAVRŠETAK</w:t>
            </w:r>
            <w:r w:rsidR="00A021F2" w:rsidRPr="009871A7">
              <w:rPr>
                <w:rFonts w:cstheme="minorHAnsi"/>
                <w:b/>
              </w:rPr>
              <w:t xml:space="preserve"> SAVJETOVANJA: </w:t>
            </w:r>
            <w:r w:rsidR="00B816DA" w:rsidRPr="009871A7">
              <w:rPr>
                <w:rFonts w:cstheme="minorHAnsi"/>
                <w:b/>
              </w:rPr>
              <w:t>4</w:t>
            </w:r>
            <w:r w:rsidR="00A920BD" w:rsidRPr="009871A7">
              <w:rPr>
                <w:rFonts w:cstheme="minorHAnsi"/>
                <w:b/>
              </w:rPr>
              <w:t>.</w:t>
            </w:r>
            <w:r w:rsidR="00B816DA" w:rsidRPr="009871A7">
              <w:rPr>
                <w:rFonts w:cstheme="minorHAnsi"/>
                <w:b/>
              </w:rPr>
              <w:t>12.</w:t>
            </w:r>
            <w:r w:rsidR="00FB2C2E" w:rsidRPr="009871A7">
              <w:rPr>
                <w:rFonts w:cstheme="minorHAnsi"/>
                <w:b/>
              </w:rPr>
              <w:t>202</w:t>
            </w:r>
            <w:r w:rsidR="00F273A3" w:rsidRPr="009871A7">
              <w:rPr>
                <w:rFonts w:cstheme="minorHAnsi"/>
                <w:b/>
              </w:rPr>
              <w:t>5.</w:t>
            </w:r>
          </w:p>
          <w:p w14:paraId="49364DFC" w14:textId="77777777" w:rsidR="0015298D" w:rsidRPr="009871A7" w:rsidRDefault="00926629">
            <w:pPr>
              <w:rPr>
                <w:rFonts w:cstheme="minorHAnsi"/>
                <w:b/>
              </w:rPr>
            </w:pPr>
            <w:r w:rsidRPr="009871A7">
              <w:rPr>
                <w:rFonts w:cstheme="minorHAnsi"/>
                <w:b/>
              </w:rPr>
              <w:t xml:space="preserve">                        </w:t>
            </w:r>
          </w:p>
          <w:p w14:paraId="435A8BC0" w14:textId="77777777" w:rsidR="00035189" w:rsidRPr="009871A7" w:rsidRDefault="00035189" w:rsidP="00392C47">
            <w:pPr>
              <w:rPr>
                <w:rFonts w:cstheme="minorHAnsi"/>
                <w:b/>
              </w:rPr>
            </w:pPr>
            <w:r w:rsidRPr="009871A7">
              <w:rPr>
                <w:rFonts w:cstheme="minorHAnsi"/>
                <w:b/>
              </w:rPr>
              <w:t xml:space="preserve"> </w:t>
            </w:r>
          </w:p>
        </w:tc>
      </w:tr>
      <w:tr w:rsidR="0015298D" w:rsidRPr="009871A7" w14:paraId="631D0C39" w14:textId="77777777" w:rsidTr="00A43953">
        <w:trPr>
          <w:trHeight w:val="5070"/>
        </w:trPr>
        <w:tc>
          <w:tcPr>
            <w:tcW w:w="4531" w:type="dxa"/>
            <w:tcBorders>
              <w:bottom w:val="single" w:sz="4" w:space="0" w:color="auto"/>
            </w:tcBorders>
          </w:tcPr>
          <w:p w14:paraId="535AC9E0" w14:textId="77777777" w:rsidR="00A43953" w:rsidRPr="009871A7" w:rsidRDefault="00A43953">
            <w:pPr>
              <w:rPr>
                <w:rFonts w:cstheme="minorHAnsi"/>
              </w:rPr>
            </w:pPr>
          </w:p>
          <w:p w14:paraId="4EA05E3B" w14:textId="4C39E391" w:rsidR="00A43953" w:rsidRPr="009871A7" w:rsidRDefault="00A43953">
            <w:pPr>
              <w:rPr>
                <w:rFonts w:cstheme="minorHAnsi"/>
              </w:rPr>
            </w:pPr>
            <w:r w:rsidRPr="009871A7">
              <w:rPr>
                <w:rFonts w:cstheme="minorHAnsi"/>
              </w:rPr>
              <w:t>Obrazloženje razloga i ciljeva koji se žele postići donošenjem akta</w:t>
            </w:r>
          </w:p>
          <w:p w14:paraId="6C71D6E7" w14:textId="77777777" w:rsidR="00A43953" w:rsidRPr="009871A7" w:rsidRDefault="00A43953">
            <w:pPr>
              <w:rPr>
                <w:rFonts w:cstheme="minorHAnsi"/>
              </w:rPr>
            </w:pPr>
          </w:p>
          <w:p w14:paraId="6508FBD6" w14:textId="77777777" w:rsidR="00A43953" w:rsidRPr="009871A7" w:rsidRDefault="00A43953">
            <w:pPr>
              <w:rPr>
                <w:rFonts w:cstheme="minorHAnsi"/>
              </w:rPr>
            </w:pPr>
          </w:p>
          <w:p w14:paraId="6444832A" w14:textId="77777777" w:rsidR="00A43953" w:rsidRPr="009871A7" w:rsidRDefault="00A43953">
            <w:pPr>
              <w:rPr>
                <w:rFonts w:cstheme="minorHAnsi"/>
              </w:rPr>
            </w:pPr>
          </w:p>
          <w:p w14:paraId="558EAB09" w14:textId="77777777" w:rsidR="00A43953" w:rsidRPr="009871A7" w:rsidRDefault="00A43953">
            <w:pPr>
              <w:rPr>
                <w:rFonts w:cstheme="minorHAnsi"/>
              </w:rPr>
            </w:pPr>
          </w:p>
          <w:p w14:paraId="229E5BDF" w14:textId="77777777" w:rsidR="00A43953" w:rsidRPr="009871A7" w:rsidRDefault="00A43953">
            <w:pPr>
              <w:rPr>
                <w:rFonts w:cstheme="minorHAnsi"/>
              </w:rPr>
            </w:pPr>
          </w:p>
          <w:p w14:paraId="502C4255" w14:textId="77777777" w:rsidR="00A43953" w:rsidRPr="009871A7" w:rsidRDefault="00A43953">
            <w:pPr>
              <w:rPr>
                <w:rFonts w:cstheme="minorHAnsi"/>
              </w:rPr>
            </w:pPr>
          </w:p>
          <w:p w14:paraId="1C76DCED" w14:textId="77777777" w:rsidR="00A43953" w:rsidRPr="009871A7" w:rsidRDefault="00A43953">
            <w:pPr>
              <w:rPr>
                <w:rFonts w:cstheme="minorHAnsi"/>
              </w:rPr>
            </w:pPr>
          </w:p>
          <w:p w14:paraId="61647203" w14:textId="77777777" w:rsidR="00A43953" w:rsidRPr="009871A7" w:rsidRDefault="00A43953">
            <w:pPr>
              <w:rPr>
                <w:rFonts w:cstheme="minorHAnsi"/>
              </w:rPr>
            </w:pPr>
          </w:p>
          <w:p w14:paraId="68156C81" w14:textId="77777777" w:rsidR="00A43953" w:rsidRPr="009871A7" w:rsidRDefault="00A43953">
            <w:pPr>
              <w:rPr>
                <w:rFonts w:cstheme="minorHAnsi"/>
              </w:rPr>
            </w:pPr>
          </w:p>
          <w:p w14:paraId="5EA6DA1B" w14:textId="77777777" w:rsidR="00A43953" w:rsidRPr="009871A7" w:rsidRDefault="00A43953">
            <w:pPr>
              <w:rPr>
                <w:rFonts w:cstheme="minorHAnsi"/>
              </w:rPr>
            </w:pPr>
          </w:p>
          <w:p w14:paraId="1C0B6102" w14:textId="77777777" w:rsidR="00A43953" w:rsidRPr="009871A7" w:rsidRDefault="00A43953">
            <w:pPr>
              <w:rPr>
                <w:rFonts w:cstheme="minorHAnsi"/>
              </w:rPr>
            </w:pPr>
          </w:p>
          <w:p w14:paraId="2A05E6C9" w14:textId="77777777" w:rsidR="00A43953" w:rsidRPr="009871A7" w:rsidRDefault="00A43953">
            <w:pPr>
              <w:rPr>
                <w:rFonts w:cstheme="minorHAnsi"/>
              </w:rPr>
            </w:pPr>
          </w:p>
          <w:p w14:paraId="4AB69DE0" w14:textId="77777777" w:rsidR="00A43953" w:rsidRPr="009871A7" w:rsidRDefault="00A43953">
            <w:pPr>
              <w:rPr>
                <w:rFonts w:cstheme="minorHAnsi"/>
              </w:rPr>
            </w:pPr>
          </w:p>
          <w:p w14:paraId="6E25032C" w14:textId="77777777" w:rsidR="001D08B9" w:rsidRPr="009871A7" w:rsidRDefault="001D08B9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6E326EC" w14:textId="054196A6" w:rsidR="00A43953" w:rsidRPr="009871A7" w:rsidRDefault="00A43953" w:rsidP="00E442A3">
            <w:pPr>
              <w:jc w:val="both"/>
              <w:rPr>
                <w:rFonts w:cstheme="minorHAnsi"/>
              </w:rPr>
            </w:pPr>
            <w:r w:rsidRPr="009871A7">
              <w:rPr>
                <w:rFonts w:cstheme="minorHAnsi"/>
              </w:rPr>
              <w:t>Ciljevi provođenja savjetovanja: upoznavanje javnosti s prijedlogom Odluke i dobivanje mišljenja, primjedbi i prijedloga te eventualno prihvaćanje zakonitih i stručno utemeljenih prijedloga, primjedbi i mišljenja na prijedlog Odluke.</w:t>
            </w:r>
          </w:p>
          <w:p w14:paraId="19AA7DA9" w14:textId="77777777" w:rsidR="00A43953" w:rsidRPr="009871A7" w:rsidRDefault="00A43953" w:rsidP="00E442A3">
            <w:pPr>
              <w:jc w:val="both"/>
              <w:rPr>
                <w:rFonts w:cstheme="minorHAnsi"/>
              </w:rPr>
            </w:pPr>
          </w:p>
          <w:p w14:paraId="4C0FEA6E" w14:textId="2DB74885" w:rsidR="0015298D" w:rsidRPr="009871A7" w:rsidRDefault="00A43953" w:rsidP="00E442A3">
            <w:pPr>
              <w:jc w:val="both"/>
              <w:rPr>
                <w:rFonts w:cstheme="minorHAnsi"/>
              </w:rPr>
            </w:pPr>
            <w:r w:rsidRPr="009871A7">
              <w:rPr>
                <w:rFonts w:cstheme="minorHAnsi"/>
              </w:rPr>
              <w:t xml:space="preserve">Obrazloženje: </w:t>
            </w:r>
            <w:r w:rsidR="00A920BD" w:rsidRPr="009871A7">
              <w:rPr>
                <w:rFonts w:cstheme="minorHAnsi"/>
              </w:rPr>
              <w:t xml:space="preserve">Pravni temelj za donošenje  Odluke o </w:t>
            </w:r>
            <w:r w:rsidR="00B816DA" w:rsidRPr="009871A7">
              <w:rPr>
                <w:rFonts w:cstheme="minorHAnsi"/>
              </w:rPr>
              <w:t xml:space="preserve"> grobljima je Zakon o grobljima (NN broj  78/25, 80/25) koji je stupio na snagu 17.5.2025.  Odredbom članka 46. Zakona o grobljima propisano je da je predstavničko tijelo JLS dužno u roku od godine odana od stupanja na snagu Zakona donijeti odluku iz članka  9. stavak 10. Zakona.</w:t>
            </w:r>
          </w:p>
          <w:p w14:paraId="5CDD6EB7" w14:textId="77777777" w:rsidR="00B816DA" w:rsidRPr="009871A7" w:rsidRDefault="00B816DA" w:rsidP="00E442A3">
            <w:pPr>
              <w:jc w:val="both"/>
              <w:rPr>
                <w:rFonts w:cstheme="minorHAnsi"/>
              </w:rPr>
            </w:pPr>
          </w:p>
          <w:p w14:paraId="7F9BC9F4" w14:textId="4D641435" w:rsidR="009871A7" w:rsidRPr="009871A7" w:rsidRDefault="00B816DA" w:rsidP="009871A7">
            <w:pPr>
              <w:pStyle w:val="box480012"/>
              <w:shd w:val="clear" w:color="auto" w:fill="FFFFFF"/>
              <w:spacing w:before="0" w:beforeAutospacing="0" w:after="48" w:afterAutospacing="0"/>
              <w:jc w:val="both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sz w:val="22"/>
                <w:szCs w:val="22"/>
              </w:rPr>
              <w:t>Članak 9. stavak 10. propisuje</w:t>
            </w:r>
            <w:r w:rsidR="009871A7"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da p</w:t>
            </w:r>
            <w:r w:rsidR="009871A7"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redstavničko tijelo jedinice lokalne samouprave donosi odluku kojom se uređuju:</w:t>
            </w:r>
          </w:p>
          <w:p w14:paraId="169F98B1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mjerila i kriteriji za dodjelu i ustupanje grobnih mjesta na korištenje</w:t>
            </w:r>
          </w:p>
          <w:p w14:paraId="03B18C4E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iskopavanje i premještaj posmrtnih ostataka</w:t>
            </w:r>
          </w:p>
          <w:p w14:paraId="4D60432F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ukopi i privremeni ukopi</w:t>
            </w:r>
          </w:p>
          <w:p w14:paraId="00FE3A6B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način ukopa nepoznatih osoba</w:t>
            </w:r>
          </w:p>
          <w:p w14:paraId="3413D444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produbljenje groba i premještanje posmrtnih ostataka u grobnici</w:t>
            </w:r>
          </w:p>
          <w:p w14:paraId="77C313C9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održavanje groblja i uklanjanje otpada</w:t>
            </w:r>
          </w:p>
          <w:p w14:paraId="11DAFE9F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veličina, dimenzije, materijal i izgled grobnih mjesta i spomen-obilježja</w:t>
            </w:r>
          </w:p>
          <w:p w14:paraId="1966C78C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uvjeti upravljanja grobljem od strane pravne osobe koja upravlja grobljem</w:t>
            </w:r>
          </w:p>
          <w:p w14:paraId="1701F8AA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uvjeti, način i mjesto prosipanja kremiranih posmrtnih ostataka umrle osobe</w:t>
            </w:r>
          </w:p>
          <w:p w14:paraId="41AD4B14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– uvjeti i mjerila za plaćanje naknade pri dodjeli grobnog mjesta i godišnje grobne </w:t>
            </w: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naknade, kao i mogućnost plaćanja godišnje grobne naknade unaprijed</w:t>
            </w:r>
          </w:p>
          <w:p w14:paraId="30261662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uvjeti za ustupanje prava korištenja grobnog mjesta trećim osobama</w:t>
            </w:r>
          </w:p>
          <w:p w14:paraId="40357875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mogućnost da pojedini dijelovi groblja služe za ukope članova pojedinih vjerskih zajednica te mogućnost da se na tim dijelovima groblja ukop obavlja uz prethodnu suglasnost predstavnika tih vjerskih zajednica</w:t>
            </w:r>
          </w:p>
          <w:p w14:paraId="5E5AE596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mogućnost da dio groblja ustupi drugoj jedinici lokalne samouprave ili da sklopi ugovor o zajedničkom korištenju groblja s drugom jedinicom lokalne samouprave</w:t>
            </w:r>
          </w:p>
          <w:p w14:paraId="60269776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mogućnost da se grobno mjesto dodijeli na korištenje bez obveze premještanja ostataka tijela umrlih osoba u zajedničku grobnicu</w:t>
            </w:r>
          </w:p>
          <w:p w14:paraId="438D8041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pravila za određivanje naknade za stjecanje opreme i uređaja koji se nalaze na grobnom mjestu bez korisnika grobnog mjesta</w:t>
            </w:r>
          </w:p>
          <w:p w14:paraId="267E1728" w14:textId="77777777" w:rsidR="009871A7" w:rsidRPr="009871A7" w:rsidRDefault="009871A7" w:rsidP="009871A7">
            <w:pPr>
              <w:pStyle w:val="box48001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871A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prekršajne sankcije za prekršitelje odredbi.</w:t>
            </w:r>
          </w:p>
          <w:p w14:paraId="1CF7A260" w14:textId="4E4B0F54" w:rsidR="00B816DA" w:rsidRPr="009871A7" w:rsidRDefault="00B816DA" w:rsidP="00E442A3">
            <w:pPr>
              <w:jc w:val="both"/>
              <w:rPr>
                <w:rFonts w:cstheme="minorHAnsi"/>
              </w:rPr>
            </w:pPr>
            <w:r w:rsidRPr="009871A7">
              <w:rPr>
                <w:rFonts w:cstheme="minorHAnsi"/>
              </w:rPr>
              <w:t xml:space="preserve"> </w:t>
            </w:r>
          </w:p>
        </w:tc>
      </w:tr>
      <w:tr w:rsidR="00A43953" w:rsidRPr="009871A7" w14:paraId="36DD5E5E" w14:textId="77777777" w:rsidTr="00A43953">
        <w:trPr>
          <w:trHeight w:val="1311"/>
        </w:trPr>
        <w:tc>
          <w:tcPr>
            <w:tcW w:w="4531" w:type="dxa"/>
            <w:tcBorders>
              <w:top w:val="single" w:sz="4" w:space="0" w:color="auto"/>
            </w:tcBorders>
          </w:tcPr>
          <w:p w14:paraId="61C8E4F8" w14:textId="77777777" w:rsidR="00A43953" w:rsidRPr="009871A7" w:rsidRDefault="00A43953" w:rsidP="00A43953">
            <w:pPr>
              <w:rPr>
                <w:rFonts w:cstheme="minorHAnsi"/>
              </w:rPr>
            </w:pPr>
          </w:p>
          <w:p w14:paraId="7304E45E" w14:textId="77777777" w:rsidR="00A43953" w:rsidRPr="009871A7" w:rsidRDefault="00A43953" w:rsidP="00A43953">
            <w:pPr>
              <w:rPr>
                <w:rFonts w:cstheme="minorHAnsi"/>
              </w:rPr>
            </w:pPr>
            <w:r w:rsidRPr="009871A7">
              <w:rPr>
                <w:rFonts w:cstheme="minorHAnsi"/>
              </w:rPr>
              <w:t>Ime/naziv sudionika savjetovanja (pojedinac, udruga, ustanova i slično) koji daje svoje mišljenje, primjedbe i prijedloge na predloženi nacrt prijedloga</w:t>
            </w:r>
          </w:p>
          <w:p w14:paraId="13419083" w14:textId="77777777" w:rsidR="00A43953" w:rsidRPr="009871A7" w:rsidRDefault="00A43953" w:rsidP="00A43953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0073461" w14:textId="77777777" w:rsidR="00A43953" w:rsidRPr="009871A7" w:rsidRDefault="00A43953" w:rsidP="00A43953">
            <w:pPr>
              <w:rPr>
                <w:rFonts w:cstheme="minorHAnsi"/>
              </w:rPr>
            </w:pPr>
          </w:p>
          <w:p w14:paraId="06DCD515" w14:textId="77777777" w:rsidR="00A43953" w:rsidRPr="009871A7" w:rsidRDefault="00A43953" w:rsidP="00A43953">
            <w:pPr>
              <w:rPr>
                <w:rFonts w:cstheme="minorHAnsi"/>
              </w:rPr>
            </w:pPr>
          </w:p>
          <w:p w14:paraId="23115F72" w14:textId="77777777" w:rsidR="00666F06" w:rsidRPr="009871A7" w:rsidRDefault="00666F06" w:rsidP="00A43953">
            <w:pPr>
              <w:rPr>
                <w:rFonts w:cstheme="minorHAnsi"/>
              </w:rPr>
            </w:pPr>
          </w:p>
          <w:p w14:paraId="55519C13" w14:textId="77777777" w:rsidR="00666F06" w:rsidRPr="009871A7" w:rsidRDefault="00666F06" w:rsidP="00A43953">
            <w:pPr>
              <w:rPr>
                <w:rFonts w:cstheme="minorHAnsi"/>
              </w:rPr>
            </w:pPr>
          </w:p>
        </w:tc>
      </w:tr>
      <w:tr w:rsidR="0015298D" w:rsidRPr="009871A7" w14:paraId="39B4336A" w14:textId="77777777" w:rsidTr="00A43953">
        <w:trPr>
          <w:trHeight w:val="285"/>
        </w:trPr>
        <w:tc>
          <w:tcPr>
            <w:tcW w:w="4531" w:type="dxa"/>
          </w:tcPr>
          <w:p w14:paraId="6C6ACE41" w14:textId="77777777" w:rsidR="007F53B3" w:rsidRPr="009871A7" w:rsidRDefault="00EE716D" w:rsidP="00EE716D">
            <w:pPr>
              <w:rPr>
                <w:rFonts w:cstheme="minorHAnsi"/>
              </w:rPr>
            </w:pPr>
            <w:r w:rsidRPr="009871A7">
              <w:rPr>
                <w:rFonts w:cstheme="minorHAnsi"/>
              </w:rPr>
              <w:t xml:space="preserve">Tematsko područje i brojnost korisnika koji </w:t>
            </w:r>
          </w:p>
          <w:p w14:paraId="587794DD" w14:textId="77777777" w:rsidR="001D08B9" w:rsidRPr="009871A7" w:rsidRDefault="00EE716D" w:rsidP="00EE716D">
            <w:pPr>
              <w:rPr>
                <w:rFonts w:cstheme="minorHAnsi"/>
              </w:rPr>
            </w:pPr>
            <w:r w:rsidRPr="009871A7">
              <w:rPr>
                <w:rFonts w:cstheme="minorHAnsi"/>
              </w:rPr>
              <w:t xml:space="preserve">predstavljate, odnosno interes koji zastupate </w:t>
            </w:r>
          </w:p>
          <w:p w14:paraId="7E96C8DC" w14:textId="77777777" w:rsidR="007F53B3" w:rsidRPr="009871A7" w:rsidRDefault="007F53B3" w:rsidP="00EE716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14E4F46" w14:textId="77777777" w:rsidR="0015298D" w:rsidRPr="009871A7" w:rsidRDefault="0015298D">
            <w:pPr>
              <w:rPr>
                <w:rFonts w:cstheme="minorHAnsi"/>
              </w:rPr>
            </w:pPr>
          </w:p>
          <w:p w14:paraId="4CFAFC66" w14:textId="77777777" w:rsidR="00666F06" w:rsidRPr="009871A7" w:rsidRDefault="00666F06">
            <w:pPr>
              <w:rPr>
                <w:rFonts w:cstheme="minorHAnsi"/>
              </w:rPr>
            </w:pPr>
          </w:p>
          <w:p w14:paraId="63EE0915" w14:textId="77777777" w:rsidR="00666F06" w:rsidRPr="009871A7" w:rsidRDefault="00666F06">
            <w:pPr>
              <w:rPr>
                <w:rFonts w:cstheme="minorHAnsi"/>
              </w:rPr>
            </w:pPr>
          </w:p>
          <w:p w14:paraId="3E65C6D0" w14:textId="77777777" w:rsidR="00666F06" w:rsidRPr="009871A7" w:rsidRDefault="00666F06">
            <w:pPr>
              <w:rPr>
                <w:rFonts w:cstheme="minorHAnsi"/>
              </w:rPr>
            </w:pPr>
          </w:p>
          <w:p w14:paraId="79A4934F" w14:textId="77777777" w:rsidR="00666F06" w:rsidRPr="009871A7" w:rsidRDefault="00666F06">
            <w:pPr>
              <w:rPr>
                <w:rFonts w:cstheme="minorHAnsi"/>
              </w:rPr>
            </w:pPr>
          </w:p>
        </w:tc>
      </w:tr>
      <w:tr w:rsidR="0015298D" w:rsidRPr="009871A7" w14:paraId="4F652854" w14:textId="77777777" w:rsidTr="00A43953">
        <w:trPr>
          <w:trHeight w:val="285"/>
        </w:trPr>
        <w:tc>
          <w:tcPr>
            <w:tcW w:w="4531" w:type="dxa"/>
          </w:tcPr>
          <w:p w14:paraId="51252AC5" w14:textId="77777777" w:rsidR="0015298D" w:rsidRPr="009871A7" w:rsidRDefault="00EE716D">
            <w:pPr>
              <w:rPr>
                <w:rFonts w:cstheme="minorHAnsi"/>
              </w:rPr>
            </w:pPr>
            <w:r w:rsidRPr="009871A7">
              <w:rPr>
                <w:rFonts w:cstheme="minorHAnsi"/>
              </w:rPr>
              <w:t>Načelni kome</w:t>
            </w:r>
            <w:r w:rsidR="00CC69C1" w:rsidRPr="009871A7">
              <w:rPr>
                <w:rFonts w:cstheme="minorHAnsi"/>
              </w:rPr>
              <w:t>ntar</w:t>
            </w:r>
            <w:r w:rsidR="007F53B3" w:rsidRPr="009871A7">
              <w:rPr>
                <w:rFonts w:cstheme="minorHAnsi"/>
              </w:rPr>
              <w:t>i na predloženi nacrt prijedloga</w:t>
            </w:r>
          </w:p>
          <w:p w14:paraId="19E6A96D" w14:textId="77777777" w:rsidR="001D08B9" w:rsidRPr="009871A7" w:rsidRDefault="001D08B9">
            <w:pPr>
              <w:rPr>
                <w:rFonts w:cstheme="minorHAnsi"/>
              </w:rPr>
            </w:pPr>
          </w:p>
          <w:p w14:paraId="47EF9B6E" w14:textId="77777777" w:rsidR="007F53B3" w:rsidRPr="009871A7" w:rsidRDefault="007F53B3">
            <w:pPr>
              <w:rPr>
                <w:rFonts w:cstheme="minorHAnsi"/>
              </w:rPr>
            </w:pPr>
          </w:p>
          <w:p w14:paraId="5371901F" w14:textId="77777777" w:rsidR="00A920BD" w:rsidRPr="009871A7" w:rsidRDefault="00A920BD">
            <w:pPr>
              <w:rPr>
                <w:rFonts w:cstheme="minorHAnsi"/>
              </w:rPr>
            </w:pPr>
          </w:p>
          <w:p w14:paraId="544A0F6B" w14:textId="77777777" w:rsidR="00A920BD" w:rsidRPr="009871A7" w:rsidRDefault="00A920BD">
            <w:pPr>
              <w:rPr>
                <w:rFonts w:cstheme="minorHAnsi"/>
              </w:rPr>
            </w:pPr>
          </w:p>
          <w:p w14:paraId="40FE769E" w14:textId="77777777" w:rsidR="00A920BD" w:rsidRPr="009871A7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AACED98" w14:textId="77777777" w:rsidR="0015298D" w:rsidRPr="009871A7" w:rsidRDefault="0015298D">
            <w:pPr>
              <w:rPr>
                <w:rFonts w:cstheme="minorHAnsi"/>
              </w:rPr>
            </w:pPr>
          </w:p>
          <w:p w14:paraId="717499CF" w14:textId="77777777" w:rsidR="00666F06" w:rsidRPr="009871A7" w:rsidRDefault="00666F06">
            <w:pPr>
              <w:rPr>
                <w:rFonts w:cstheme="minorHAnsi"/>
              </w:rPr>
            </w:pPr>
          </w:p>
          <w:p w14:paraId="4F0F2491" w14:textId="77777777" w:rsidR="00666F06" w:rsidRPr="009871A7" w:rsidRDefault="00666F06">
            <w:pPr>
              <w:rPr>
                <w:rFonts w:cstheme="minorHAnsi"/>
              </w:rPr>
            </w:pPr>
          </w:p>
          <w:p w14:paraId="364D740C" w14:textId="77777777" w:rsidR="00666F06" w:rsidRPr="009871A7" w:rsidRDefault="00666F06">
            <w:pPr>
              <w:rPr>
                <w:rFonts w:cstheme="minorHAnsi"/>
              </w:rPr>
            </w:pPr>
          </w:p>
          <w:p w14:paraId="7D1951D4" w14:textId="77777777" w:rsidR="00666F06" w:rsidRPr="009871A7" w:rsidRDefault="00666F06">
            <w:pPr>
              <w:rPr>
                <w:rFonts w:cstheme="minorHAnsi"/>
              </w:rPr>
            </w:pPr>
          </w:p>
        </w:tc>
      </w:tr>
      <w:tr w:rsidR="00411B7F" w:rsidRPr="009871A7" w14:paraId="3BD42C1A" w14:textId="77777777" w:rsidTr="00A43953">
        <w:trPr>
          <w:trHeight w:val="285"/>
        </w:trPr>
        <w:tc>
          <w:tcPr>
            <w:tcW w:w="4531" w:type="dxa"/>
          </w:tcPr>
          <w:p w14:paraId="58492716" w14:textId="77777777" w:rsidR="00A920BD" w:rsidRPr="009871A7" w:rsidRDefault="00A920BD">
            <w:pPr>
              <w:rPr>
                <w:rFonts w:cstheme="minorHAnsi"/>
              </w:rPr>
            </w:pPr>
          </w:p>
          <w:p w14:paraId="42D9A082" w14:textId="77777777" w:rsidR="00A920BD" w:rsidRPr="009871A7" w:rsidRDefault="00A920BD">
            <w:pPr>
              <w:rPr>
                <w:rFonts w:cstheme="minorHAnsi"/>
              </w:rPr>
            </w:pPr>
          </w:p>
          <w:p w14:paraId="3DC68A10" w14:textId="13681F6E" w:rsidR="001D08B9" w:rsidRPr="009871A7" w:rsidRDefault="00AB37E1">
            <w:pPr>
              <w:rPr>
                <w:rFonts w:cstheme="minorHAnsi"/>
              </w:rPr>
            </w:pPr>
            <w:r w:rsidRPr="009871A7">
              <w:rPr>
                <w:rFonts w:cstheme="minorHAnsi"/>
              </w:rPr>
              <w:t xml:space="preserve">Ime i prezime osobe/a </w:t>
            </w:r>
            <w:r w:rsidR="00411B7F" w:rsidRPr="009871A7">
              <w:rPr>
                <w:rFonts w:cstheme="minorHAnsi"/>
              </w:rPr>
              <w:t>koja je sastavljala primjedbe</w:t>
            </w:r>
            <w:r w:rsidRPr="009871A7">
              <w:rPr>
                <w:rFonts w:cstheme="minorHAnsi"/>
              </w:rPr>
              <w:t xml:space="preserve"> i komentare</w:t>
            </w:r>
            <w:r w:rsidR="00411B7F" w:rsidRPr="009871A7">
              <w:rPr>
                <w:rFonts w:cstheme="minorHAnsi"/>
              </w:rPr>
              <w:t xml:space="preserve"> ili osobe ovlaštene za </w:t>
            </w:r>
            <w:r w:rsidRPr="009871A7">
              <w:rPr>
                <w:rFonts w:cstheme="minorHAnsi"/>
              </w:rPr>
              <w:t>zastupanje udruge, ustanove</w:t>
            </w:r>
          </w:p>
        </w:tc>
        <w:tc>
          <w:tcPr>
            <w:tcW w:w="4531" w:type="dxa"/>
          </w:tcPr>
          <w:p w14:paraId="1057F0E3" w14:textId="77777777" w:rsidR="00411B7F" w:rsidRPr="009871A7" w:rsidRDefault="00411B7F">
            <w:pPr>
              <w:rPr>
                <w:rFonts w:cstheme="minorHAnsi"/>
              </w:rPr>
            </w:pPr>
          </w:p>
          <w:p w14:paraId="3E4F1A8A" w14:textId="77777777" w:rsidR="00A920BD" w:rsidRPr="009871A7" w:rsidRDefault="00A920BD">
            <w:pPr>
              <w:rPr>
                <w:rFonts w:cstheme="minorHAnsi"/>
              </w:rPr>
            </w:pPr>
          </w:p>
          <w:p w14:paraId="26D1CCFD" w14:textId="77777777" w:rsidR="00A920BD" w:rsidRPr="009871A7" w:rsidRDefault="00A920BD">
            <w:pPr>
              <w:rPr>
                <w:rFonts w:cstheme="minorHAnsi"/>
              </w:rPr>
            </w:pPr>
          </w:p>
          <w:p w14:paraId="12F69312" w14:textId="77777777" w:rsidR="00A920BD" w:rsidRPr="009871A7" w:rsidRDefault="00A920BD">
            <w:pPr>
              <w:rPr>
                <w:rFonts w:cstheme="minorHAnsi"/>
              </w:rPr>
            </w:pPr>
          </w:p>
          <w:p w14:paraId="5423618A" w14:textId="77777777" w:rsidR="00A920BD" w:rsidRPr="009871A7" w:rsidRDefault="00A920BD">
            <w:pPr>
              <w:rPr>
                <w:rFonts w:cstheme="minorHAnsi"/>
              </w:rPr>
            </w:pPr>
          </w:p>
          <w:p w14:paraId="7CE2A0BB" w14:textId="77777777" w:rsidR="00A920BD" w:rsidRPr="009871A7" w:rsidRDefault="00A920BD">
            <w:pPr>
              <w:rPr>
                <w:rFonts w:cstheme="minorHAnsi"/>
              </w:rPr>
            </w:pPr>
          </w:p>
          <w:p w14:paraId="4CC1EBE9" w14:textId="77777777" w:rsidR="00A920BD" w:rsidRPr="009871A7" w:rsidRDefault="00A920BD">
            <w:pPr>
              <w:rPr>
                <w:rFonts w:cstheme="minorHAnsi"/>
              </w:rPr>
            </w:pPr>
          </w:p>
          <w:p w14:paraId="04AB5478" w14:textId="77777777" w:rsidR="00A920BD" w:rsidRPr="009871A7" w:rsidRDefault="00A920BD">
            <w:pPr>
              <w:rPr>
                <w:rFonts w:cstheme="minorHAnsi"/>
              </w:rPr>
            </w:pPr>
          </w:p>
        </w:tc>
      </w:tr>
      <w:tr w:rsidR="00411B7F" w:rsidRPr="009871A7" w14:paraId="0BF00114" w14:textId="77777777" w:rsidTr="00A43953">
        <w:trPr>
          <w:trHeight w:val="285"/>
        </w:trPr>
        <w:tc>
          <w:tcPr>
            <w:tcW w:w="4531" w:type="dxa"/>
          </w:tcPr>
          <w:p w14:paraId="55ACB73D" w14:textId="77777777" w:rsidR="00411B7F" w:rsidRPr="009871A7" w:rsidRDefault="00411B7F">
            <w:pPr>
              <w:rPr>
                <w:rFonts w:cstheme="minorHAnsi"/>
              </w:rPr>
            </w:pPr>
            <w:r w:rsidRPr="009871A7">
              <w:rPr>
                <w:rFonts w:cstheme="minorHAnsi"/>
              </w:rPr>
              <w:t>Datum dostavljanja</w:t>
            </w:r>
          </w:p>
          <w:p w14:paraId="76E334C1" w14:textId="77777777" w:rsidR="001D08B9" w:rsidRPr="009871A7" w:rsidRDefault="001D08B9">
            <w:pPr>
              <w:rPr>
                <w:rFonts w:cstheme="minorHAnsi"/>
              </w:rPr>
            </w:pPr>
          </w:p>
          <w:p w14:paraId="5DFE782C" w14:textId="77777777" w:rsidR="00A920BD" w:rsidRPr="009871A7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6552819" w14:textId="77777777" w:rsidR="00411B7F" w:rsidRPr="009871A7" w:rsidRDefault="00411B7F">
            <w:pPr>
              <w:rPr>
                <w:rFonts w:cstheme="minorHAnsi"/>
              </w:rPr>
            </w:pPr>
          </w:p>
        </w:tc>
      </w:tr>
      <w:tr w:rsidR="00074154" w:rsidRPr="009871A7" w14:paraId="64691A08" w14:textId="77777777" w:rsidTr="00A43953">
        <w:trPr>
          <w:trHeight w:val="285"/>
        </w:trPr>
        <w:tc>
          <w:tcPr>
            <w:tcW w:w="4531" w:type="dxa"/>
          </w:tcPr>
          <w:p w14:paraId="561804D6" w14:textId="77777777" w:rsidR="00074154" w:rsidRPr="009871A7" w:rsidRDefault="00074154" w:rsidP="007458C5">
            <w:pPr>
              <w:rPr>
                <w:rFonts w:cstheme="minorHAnsi"/>
              </w:rPr>
            </w:pPr>
            <w:r w:rsidRPr="009871A7">
              <w:rPr>
                <w:rFonts w:cstheme="minorHAnsi"/>
              </w:rPr>
              <w:t>Jeste li suglasni da se ovaj obrazac s imenom/nazivom sudionika savjetovanja, ob</w:t>
            </w:r>
            <w:r w:rsidR="00392C47" w:rsidRPr="009871A7">
              <w:rPr>
                <w:rFonts w:cstheme="minorHAnsi"/>
              </w:rPr>
              <w:t>j</w:t>
            </w:r>
            <w:r w:rsidRPr="009871A7">
              <w:rPr>
                <w:rFonts w:cstheme="minorHAnsi"/>
              </w:rPr>
              <w:t>avi na internetskoj stranici</w:t>
            </w:r>
            <w:r w:rsidR="00C005DD" w:rsidRPr="009871A7">
              <w:rPr>
                <w:rFonts w:cstheme="minorHAnsi"/>
              </w:rPr>
              <w:t xml:space="preserve"> Grada Novsk</w:t>
            </w:r>
            <w:r w:rsidR="00A920BD" w:rsidRPr="009871A7">
              <w:rPr>
                <w:rFonts w:cstheme="minorHAnsi"/>
              </w:rPr>
              <w:t>e</w:t>
            </w:r>
          </w:p>
          <w:p w14:paraId="1166265F" w14:textId="70C6906C" w:rsidR="00A920BD" w:rsidRPr="009871A7" w:rsidRDefault="00A920BD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E4F9D0" w14:textId="77777777" w:rsidR="00074154" w:rsidRPr="009871A7" w:rsidRDefault="00074154">
            <w:pPr>
              <w:rPr>
                <w:rFonts w:cstheme="minorHAnsi"/>
              </w:rPr>
            </w:pPr>
          </w:p>
          <w:p w14:paraId="16DAD6A4" w14:textId="77777777" w:rsidR="00F273A3" w:rsidRPr="009871A7" w:rsidRDefault="00F273A3">
            <w:pPr>
              <w:rPr>
                <w:rFonts w:cstheme="minorHAnsi"/>
              </w:rPr>
            </w:pPr>
          </w:p>
        </w:tc>
      </w:tr>
      <w:tr w:rsidR="007802DB" w:rsidRPr="009871A7" w14:paraId="13C5A073" w14:textId="77777777" w:rsidTr="00A43953">
        <w:trPr>
          <w:trHeight w:val="342"/>
        </w:trPr>
        <w:tc>
          <w:tcPr>
            <w:tcW w:w="4531" w:type="dxa"/>
            <w:tcBorders>
              <w:bottom w:val="single" w:sz="4" w:space="0" w:color="auto"/>
            </w:tcBorders>
          </w:tcPr>
          <w:p w14:paraId="2F18978C" w14:textId="77777777" w:rsidR="007802DB" w:rsidRPr="009871A7" w:rsidRDefault="007802DB" w:rsidP="007458C5">
            <w:pPr>
              <w:rPr>
                <w:rFonts w:cstheme="minorHAnsi"/>
              </w:rPr>
            </w:pPr>
            <w:r w:rsidRPr="009871A7">
              <w:rPr>
                <w:rFonts w:cstheme="minorHAnsi"/>
              </w:rPr>
              <w:t>Potpis</w:t>
            </w:r>
          </w:p>
          <w:p w14:paraId="5D7AAC40" w14:textId="77777777" w:rsidR="007802DB" w:rsidRPr="009871A7" w:rsidRDefault="007802DB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5469529" w14:textId="77777777" w:rsidR="007802DB" w:rsidRPr="009871A7" w:rsidRDefault="007802DB">
            <w:pPr>
              <w:rPr>
                <w:rFonts w:cstheme="minorHAnsi"/>
              </w:rPr>
            </w:pPr>
          </w:p>
          <w:p w14:paraId="4C80145E" w14:textId="77777777" w:rsidR="00F273A3" w:rsidRPr="009871A7" w:rsidRDefault="00F273A3">
            <w:pPr>
              <w:rPr>
                <w:rFonts w:cstheme="minorHAnsi"/>
              </w:rPr>
            </w:pPr>
          </w:p>
          <w:p w14:paraId="462EFDA6" w14:textId="77777777" w:rsidR="00F273A3" w:rsidRPr="009871A7" w:rsidRDefault="00F273A3">
            <w:pPr>
              <w:rPr>
                <w:rFonts w:cstheme="minorHAnsi"/>
              </w:rPr>
            </w:pPr>
          </w:p>
        </w:tc>
      </w:tr>
    </w:tbl>
    <w:p w14:paraId="352811DD" w14:textId="77777777" w:rsidR="00146450" w:rsidRPr="009871A7" w:rsidRDefault="00146450" w:rsidP="00A920BD">
      <w:pPr>
        <w:tabs>
          <w:tab w:val="left" w:pos="915"/>
        </w:tabs>
        <w:rPr>
          <w:rFonts w:cstheme="minorHAnsi"/>
          <w:b/>
          <w:color w:val="548DD4" w:themeColor="text2" w:themeTint="99"/>
        </w:rPr>
      </w:pPr>
    </w:p>
    <w:p w14:paraId="5D420C06" w14:textId="77777777" w:rsidR="00DD34E3" w:rsidRPr="009871A7" w:rsidRDefault="00146450" w:rsidP="00C61903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</w:rPr>
      </w:pPr>
      <w:r w:rsidRPr="009871A7">
        <w:rPr>
          <w:rFonts w:cstheme="minorHAnsi"/>
        </w:rPr>
        <w:t>Nacrt prijedloga Odluke stavlja se na internetsko savjetovanje sa zainteresi</w:t>
      </w:r>
      <w:r w:rsidR="008D361F" w:rsidRPr="009871A7">
        <w:rPr>
          <w:rFonts w:cstheme="minorHAnsi"/>
        </w:rPr>
        <w:t>ranom javnosti  u trajanju od 30 dana.</w:t>
      </w:r>
    </w:p>
    <w:p w14:paraId="49D4199F" w14:textId="559F4C1D" w:rsidR="00C722DB" w:rsidRPr="009871A7" w:rsidRDefault="00035189" w:rsidP="00C722DB">
      <w:pPr>
        <w:tabs>
          <w:tab w:val="left" w:pos="915"/>
        </w:tabs>
        <w:jc w:val="center"/>
        <w:rPr>
          <w:rFonts w:cstheme="minorHAnsi"/>
          <w:b/>
        </w:rPr>
      </w:pPr>
      <w:r w:rsidRPr="009871A7">
        <w:rPr>
          <w:rFonts w:cstheme="minorHAnsi"/>
          <w:b/>
        </w:rPr>
        <w:t xml:space="preserve">POPUNJENI OBRAZAC S EVENTUALNIM PRILOGOM ZAKLJUČNO </w:t>
      </w:r>
      <w:r w:rsidR="00C6324F" w:rsidRPr="009871A7">
        <w:rPr>
          <w:rFonts w:cstheme="minorHAnsi"/>
          <w:b/>
        </w:rPr>
        <w:t xml:space="preserve">do </w:t>
      </w:r>
      <w:r w:rsidR="00F273A3" w:rsidRPr="009871A7">
        <w:rPr>
          <w:rFonts w:cstheme="minorHAnsi"/>
          <w:b/>
        </w:rPr>
        <w:t xml:space="preserve"> </w:t>
      </w:r>
      <w:r w:rsidR="00B816DA" w:rsidRPr="009871A7">
        <w:rPr>
          <w:rFonts w:cstheme="minorHAnsi"/>
          <w:b/>
        </w:rPr>
        <w:t>4</w:t>
      </w:r>
      <w:r w:rsidR="00A920BD" w:rsidRPr="009871A7">
        <w:rPr>
          <w:rFonts w:cstheme="minorHAnsi"/>
          <w:b/>
        </w:rPr>
        <w:t>.</w:t>
      </w:r>
      <w:r w:rsidR="00B816DA" w:rsidRPr="009871A7">
        <w:rPr>
          <w:rFonts w:cstheme="minorHAnsi"/>
          <w:b/>
        </w:rPr>
        <w:t>12.</w:t>
      </w:r>
      <w:r w:rsidR="00A920BD" w:rsidRPr="009871A7">
        <w:rPr>
          <w:rFonts w:cstheme="minorHAnsi"/>
          <w:b/>
        </w:rPr>
        <w:t>2025.</w:t>
      </w:r>
      <w:r w:rsidRPr="009871A7">
        <w:rPr>
          <w:rFonts w:cstheme="minorHAnsi"/>
          <w:b/>
        </w:rPr>
        <w:t xml:space="preserve">DOSTAVITE NA ADRESU ELEKTRONSKE POŠTE: </w:t>
      </w:r>
      <w:hyperlink r:id="rId8" w:history="1">
        <w:r w:rsidR="00DD34E3" w:rsidRPr="009871A7">
          <w:rPr>
            <w:rStyle w:val="Hiperveza"/>
            <w:rFonts w:cstheme="minorHAnsi"/>
            <w:b/>
          </w:rPr>
          <w:t>grad@novska.hr</w:t>
        </w:r>
      </w:hyperlink>
    </w:p>
    <w:p w14:paraId="68E7C1A0" w14:textId="77777777" w:rsidR="00DD34E3" w:rsidRPr="009871A7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DFC014D" w14:textId="77777777" w:rsidR="00DD34E3" w:rsidRPr="009871A7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871A7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3B41D29" w14:textId="77777777" w:rsidR="00A920BD" w:rsidRPr="009871A7" w:rsidRDefault="00A920BD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7CAA935" w14:textId="77777777" w:rsidR="00DD34E3" w:rsidRPr="009871A7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871A7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14:paraId="64CA45F8" w14:textId="77777777"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191B" w14:textId="77777777" w:rsidR="00ED2F32" w:rsidRDefault="00ED2F32" w:rsidP="00CA19CD">
      <w:pPr>
        <w:spacing w:after="0" w:line="240" w:lineRule="auto"/>
      </w:pPr>
      <w:r>
        <w:separator/>
      </w:r>
    </w:p>
  </w:endnote>
  <w:endnote w:type="continuationSeparator" w:id="0">
    <w:p w14:paraId="439B64D3" w14:textId="77777777" w:rsidR="00ED2F32" w:rsidRDefault="00ED2F3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E2BE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9C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E68B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B377" w14:textId="77777777" w:rsidR="00ED2F32" w:rsidRDefault="00ED2F32" w:rsidP="00CA19CD">
      <w:pPr>
        <w:spacing w:after="0" w:line="240" w:lineRule="auto"/>
      </w:pPr>
      <w:r>
        <w:separator/>
      </w:r>
    </w:p>
  </w:footnote>
  <w:footnote w:type="continuationSeparator" w:id="0">
    <w:p w14:paraId="601FF729" w14:textId="77777777" w:rsidR="00ED2F32" w:rsidRDefault="00ED2F32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527A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C41A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E5E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29172">
    <w:abstractNumId w:val="1"/>
  </w:num>
  <w:num w:numId="2" w16cid:durableId="171226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4641"/>
    <w:rsid w:val="00025E88"/>
    <w:rsid w:val="00026F78"/>
    <w:rsid w:val="00035189"/>
    <w:rsid w:val="000372D1"/>
    <w:rsid w:val="00052095"/>
    <w:rsid w:val="00056DF5"/>
    <w:rsid w:val="00074154"/>
    <w:rsid w:val="000B42A7"/>
    <w:rsid w:val="000C1841"/>
    <w:rsid w:val="000C226B"/>
    <w:rsid w:val="000E31F6"/>
    <w:rsid w:val="000F2C82"/>
    <w:rsid w:val="00105658"/>
    <w:rsid w:val="00105BE3"/>
    <w:rsid w:val="001106BD"/>
    <w:rsid w:val="00123B36"/>
    <w:rsid w:val="001302DA"/>
    <w:rsid w:val="00146450"/>
    <w:rsid w:val="0015298D"/>
    <w:rsid w:val="0016383A"/>
    <w:rsid w:val="00171B0D"/>
    <w:rsid w:val="001A7828"/>
    <w:rsid w:val="001B5D9A"/>
    <w:rsid w:val="001D08B9"/>
    <w:rsid w:val="002061AA"/>
    <w:rsid w:val="002217C2"/>
    <w:rsid w:val="002331AD"/>
    <w:rsid w:val="00234C0D"/>
    <w:rsid w:val="00235C78"/>
    <w:rsid w:val="002666E7"/>
    <w:rsid w:val="00266B4C"/>
    <w:rsid w:val="00273DAF"/>
    <w:rsid w:val="00295636"/>
    <w:rsid w:val="00311198"/>
    <w:rsid w:val="00340D24"/>
    <w:rsid w:val="00392B20"/>
    <w:rsid w:val="00392C47"/>
    <w:rsid w:val="003E33C0"/>
    <w:rsid w:val="003F5F27"/>
    <w:rsid w:val="003F6E95"/>
    <w:rsid w:val="004038E8"/>
    <w:rsid w:val="00411B7F"/>
    <w:rsid w:val="0041394A"/>
    <w:rsid w:val="004218DE"/>
    <w:rsid w:val="00426C45"/>
    <w:rsid w:val="004733CE"/>
    <w:rsid w:val="004E1DD7"/>
    <w:rsid w:val="004F3389"/>
    <w:rsid w:val="004F4C72"/>
    <w:rsid w:val="0054532A"/>
    <w:rsid w:val="00567165"/>
    <w:rsid w:val="005B3153"/>
    <w:rsid w:val="005B79B2"/>
    <w:rsid w:val="005C5241"/>
    <w:rsid w:val="006075F2"/>
    <w:rsid w:val="00610266"/>
    <w:rsid w:val="00617F68"/>
    <w:rsid w:val="006413D3"/>
    <w:rsid w:val="00666F06"/>
    <w:rsid w:val="00686052"/>
    <w:rsid w:val="006950FE"/>
    <w:rsid w:val="006962DC"/>
    <w:rsid w:val="006B180C"/>
    <w:rsid w:val="006B347D"/>
    <w:rsid w:val="006B427F"/>
    <w:rsid w:val="006B4935"/>
    <w:rsid w:val="006C187F"/>
    <w:rsid w:val="00713A4C"/>
    <w:rsid w:val="007458C5"/>
    <w:rsid w:val="00750E4B"/>
    <w:rsid w:val="007525EF"/>
    <w:rsid w:val="007642D3"/>
    <w:rsid w:val="00767AC8"/>
    <w:rsid w:val="007802DB"/>
    <w:rsid w:val="00787683"/>
    <w:rsid w:val="00790241"/>
    <w:rsid w:val="00795198"/>
    <w:rsid w:val="007F53B3"/>
    <w:rsid w:val="00806905"/>
    <w:rsid w:val="00811DE8"/>
    <w:rsid w:val="00850A72"/>
    <w:rsid w:val="00855261"/>
    <w:rsid w:val="00862EB8"/>
    <w:rsid w:val="00873557"/>
    <w:rsid w:val="008D361F"/>
    <w:rsid w:val="008D7A08"/>
    <w:rsid w:val="008E18C6"/>
    <w:rsid w:val="008E4229"/>
    <w:rsid w:val="00900720"/>
    <w:rsid w:val="00926629"/>
    <w:rsid w:val="009426C8"/>
    <w:rsid w:val="009462E4"/>
    <w:rsid w:val="0094729C"/>
    <w:rsid w:val="00972F75"/>
    <w:rsid w:val="00982930"/>
    <w:rsid w:val="009871A7"/>
    <w:rsid w:val="009A691C"/>
    <w:rsid w:val="009E77D4"/>
    <w:rsid w:val="009F7139"/>
    <w:rsid w:val="00A021F2"/>
    <w:rsid w:val="00A11EE4"/>
    <w:rsid w:val="00A1418B"/>
    <w:rsid w:val="00A24D16"/>
    <w:rsid w:val="00A33DAA"/>
    <w:rsid w:val="00A43953"/>
    <w:rsid w:val="00A470F1"/>
    <w:rsid w:val="00A74684"/>
    <w:rsid w:val="00A920BD"/>
    <w:rsid w:val="00AB27DF"/>
    <w:rsid w:val="00AB37E1"/>
    <w:rsid w:val="00B816DA"/>
    <w:rsid w:val="00B82BF9"/>
    <w:rsid w:val="00B847A9"/>
    <w:rsid w:val="00B931DB"/>
    <w:rsid w:val="00BA335C"/>
    <w:rsid w:val="00BB54EB"/>
    <w:rsid w:val="00BD4E3A"/>
    <w:rsid w:val="00BD6B06"/>
    <w:rsid w:val="00BE343D"/>
    <w:rsid w:val="00C005DD"/>
    <w:rsid w:val="00C0165B"/>
    <w:rsid w:val="00C35B4D"/>
    <w:rsid w:val="00C61903"/>
    <w:rsid w:val="00C6324F"/>
    <w:rsid w:val="00C722DB"/>
    <w:rsid w:val="00C910E1"/>
    <w:rsid w:val="00C94E9A"/>
    <w:rsid w:val="00CA19CD"/>
    <w:rsid w:val="00CC69C1"/>
    <w:rsid w:val="00D212BA"/>
    <w:rsid w:val="00D33132"/>
    <w:rsid w:val="00D87B34"/>
    <w:rsid w:val="00D95D4D"/>
    <w:rsid w:val="00DB1EB2"/>
    <w:rsid w:val="00DD34E3"/>
    <w:rsid w:val="00E0034F"/>
    <w:rsid w:val="00E06702"/>
    <w:rsid w:val="00E111F9"/>
    <w:rsid w:val="00E442A3"/>
    <w:rsid w:val="00E553C5"/>
    <w:rsid w:val="00E9549D"/>
    <w:rsid w:val="00EC02D0"/>
    <w:rsid w:val="00ED2F32"/>
    <w:rsid w:val="00EE716D"/>
    <w:rsid w:val="00EF5360"/>
    <w:rsid w:val="00F00C4A"/>
    <w:rsid w:val="00F1320A"/>
    <w:rsid w:val="00F24A59"/>
    <w:rsid w:val="00F273A3"/>
    <w:rsid w:val="00F5274C"/>
    <w:rsid w:val="00F551F8"/>
    <w:rsid w:val="00F77CE6"/>
    <w:rsid w:val="00F90CD1"/>
    <w:rsid w:val="00FA01CF"/>
    <w:rsid w:val="00FB2C2E"/>
    <w:rsid w:val="00FB562F"/>
    <w:rsid w:val="00FC1C6E"/>
    <w:rsid w:val="00F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6CC4"/>
  <w15:docId w15:val="{E2A460B0-9208-4690-907C-E1D678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  <w:style w:type="paragraph" w:customStyle="1" w:styleId="box480012">
    <w:name w:val="box_480012"/>
    <w:basedOn w:val="Normal"/>
    <w:rsid w:val="0098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992-2958-4755-9FE7-F0C32D1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Grad Novska</cp:lastModifiedBy>
  <cp:revision>2</cp:revision>
  <cp:lastPrinted>2020-11-25T08:55:00Z</cp:lastPrinted>
  <dcterms:created xsi:type="dcterms:W3CDTF">2025-11-04T12:34:00Z</dcterms:created>
  <dcterms:modified xsi:type="dcterms:W3CDTF">2025-11-04T12:34:00Z</dcterms:modified>
</cp:coreProperties>
</file>