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6B57" w14:textId="77777777" w:rsidR="007A679E" w:rsidRDefault="007A679E" w:rsidP="007A679E"/>
    <w:p w14:paraId="3434B961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r w:rsidRPr="007A679E">
        <w:rPr>
          <w:rFonts w:asciiTheme="majorHAnsi" w:hAnsiTheme="majorHAnsi" w:cstheme="majorHAnsi"/>
        </w:rPr>
        <w:t xml:space="preserve">KLASA: 013-02/24-01/1 </w:t>
      </w:r>
    </w:p>
    <w:p w14:paraId="65B890BB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r w:rsidRPr="007A679E">
        <w:rPr>
          <w:rFonts w:asciiTheme="majorHAnsi" w:hAnsiTheme="majorHAnsi" w:cstheme="majorHAnsi"/>
        </w:rPr>
        <w:t xml:space="preserve">URBROJ: 2176 -4-02-24-1 </w:t>
      </w:r>
    </w:p>
    <w:p w14:paraId="7495559C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  <w:r w:rsidRPr="007A679E">
        <w:rPr>
          <w:rFonts w:asciiTheme="majorHAnsi" w:hAnsiTheme="majorHAnsi" w:cstheme="majorHAnsi"/>
        </w:rPr>
        <w:t xml:space="preserve">Novska, 19. siječnja 2024. </w:t>
      </w:r>
    </w:p>
    <w:p w14:paraId="20022F4B" w14:textId="77777777" w:rsidR="007A679E" w:rsidRPr="007A679E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Na temelju članka 11. Zakona o pravu na pristup informacijama („Narodne novine“ broj: 25/13 85/15 i 69/22) i članka 47. Statuta Grada Novske („Službeni vjesnik“ Grada Novske broj: 8/21 i 13/23), Gradonačelnica Grada Novske, dana 19. siječnja 2024. godine, donijela je  </w:t>
      </w:r>
    </w:p>
    <w:p w14:paraId="0EDD2033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5428F0BC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 xml:space="preserve">PLAN </w:t>
      </w:r>
    </w:p>
    <w:p w14:paraId="41A83C94" w14:textId="01BE2374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savjetovanja sa</w:t>
      </w:r>
      <w:r w:rsidR="0036034E">
        <w:rPr>
          <w:rFonts w:cstheme="majorHAnsi"/>
          <w:b/>
          <w:bCs/>
          <w:color w:val="auto"/>
          <w:sz w:val="24"/>
          <w:szCs w:val="24"/>
        </w:rPr>
        <w:t xml:space="preserve"> zainteresiranom</w:t>
      </w:r>
      <w:r w:rsidRPr="007A679E">
        <w:rPr>
          <w:rFonts w:cstheme="majorHAnsi"/>
          <w:b/>
          <w:bCs/>
          <w:color w:val="auto"/>
          <w:sz w:val="24"/>
          <w:szCs w:val="24"/>
        </w:rPr>
        <w:t xml:space="preserve"> javnošću za 2024. godinu</w:t>
      </w:r>
    </w:p>
    <w:p w14:paraId="6E28E343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31A377F4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I.</w:t>
      </w:r>
    </w:p>
    <w:p w14:paraId="673D93CB" w14:textId="77777777" w:rsidR="007A679E" w:rsidRPr="003B0369" w:rsidRDefault="007A679E" w:rsidP="008B537B">
      <w:pPr>
        <w:pStyle w:val="Naslov1"/>
        <w:spacing w:before="0"/>
        <w:ind w:left="-284"/>
        <w:rPr>
          <w:rFonts w:cstheme="majorHAnsi"/>
          <w:color w:val="auto"/>
          <w:sz w:val="24"/>
          <w:szCs w:val="24"/>
        </w:rPr>
      </w:pPr>
      <w:r w:rsidRPr="003B0369">
        <w:rPr>
          <w:rFonts w:cstheme="majorHAnsi"/>
          <w:color w:val="auto"/>
          <w:sz w:val="24"/>
          <w:szCs w:val="24"/>
        </w:rPr>
        <w:t xml:space="preserve">Utvrđuje se Plan savjetovanja s javnošću Grada Novske za 2024. godinu ( u daljnjem tekstu: Plan). </w:t>
      </w:r>
    </w:p>
    <w:p w14:paraId="405BCFE0" w14:textId="79518461" w:rsidR="007A679E" w:rsidRPr="003B0369" w:rsidRDefault="007A679E" w:rsidP="008B537B">
      <w:pPr>
        <w:ind w:left="-284"/>
        <w:rPr>
          <w:rFonts w:asciiTheme="majorHAnsi" w:hAnsiTheme="majorHAnsi" w:cstheme="majorHAnsi"/>
          <w:lang w:val="hr-HR"/>
        </w:rPr>
      </w:pPr>
      <w:r w:rsidRPr="003B0369">
        <w:rPr>
          <w:rFonts w:asciiTheme="majorHAnsi" w:hAnsiTheme="majorHAnsi" w:cstheme="majorHAnsi"/>
          <w:lang w:val="hr-HR"/>
        </w:rPr>
        <w:t>Sastavni dio plana je Tabela – Plan savjetovanja sa zainteresiranom javnošću za 2024. godinu.</w:t>
      </w:r>
    </w:p>
    <w:p w14:paraId="7BFE8F1C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1D42AB41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II.</w:t>
      </w:r>
    </w:p>
    <w:p w14:paraId="21B09F27" w14:textId="77777777" w:rsid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Popis akata prije čijeg donošenja se planira provođenje savjetovanja s javnošću temeljem Zakona o pravu na pristup informacijama, nositelj izrade nacrta akta, očekivano vrijeme donošenja akta, okvirno vrijeme provedbe internetskog savjetovanja s javnošću i donositelji akata navedeni su u tabeli koja je sastavni dio ovog Plana. </w:t>
      </w:r>
    </w:p>
    <w:p w14:paraId="3AC5E0A5" w14:textId="77777777" w:rsidR="007A679E" w:rsidRPr="007A679E" w:rsidRDefault="007A679E" w:rsidP="008B537B">
      <w:pPr>
        <w:ind w:left="-284"/>
        <w:rPr>
          <w:lang w:val="hr-HR"/>
        </w:rPr>
      </w:pPr>
    </w:p>
    <w:p w14:paraId="0FD65A09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III.</w:t>
      </w:r>
    </w:p>
    <w:p w14:paraId="2D48CDF5" w14:textId="77777777" w:rsid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Zadužuju se upravna tijela Grada Novske za provođenje savjetovanja s javnošću sukladno Zakonu o pravu na pristup informacijama, a na temelju ovog Plana. </w:t>
      </w:r>
    </w:p>
    <w:p w14:paraId="760BA83E" w14:textId="77777777" w:rsidR="007A679E" w:rsidRPr="007A679E" w:rsidRDefault="007A679E" w:rsidP="008B537B">
      <w:pPr>
        <w:ind w:left="-284"/>
        <w:rPr>
          <w:lang w:val="hr-HR"/>
        </w:rPr>
      </w:pPr>
    </w:p>
    <w:p w14:paraId="5D11FCCE" w14:textId="77777777" w:rsidR="007A679E" w:rsidRP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Nakon provedenog savjetovanja na mrežnim stranicama Grada Novske objavit će se Izvješće o provedbi savjetovanja, u kojem se navode prijedlozi i primjedbe koje su upućene na nacrt akata i obrazloženje o tome dali su primjedbe usvojene ili odbijene, kao i konstatacija da prijedloga ili primjedbi nije bilo. </w:t>
      </w:r>
    </w:p>
    <w:p w14:paraId="161C4BA5" w14:textId="77777777" w:rsidR="007A679E" w:rsidRDefault="007A679E" w:rsidP="008B537B">
      <w:pPr>
        <w:pStyle w:val="Naslov1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Ukoliko se u tijeku godine ukaže potreba, ovaj Plan može se mijenjati i nadopunjavati. </w:t>
      </w:r>
    </w:p>
    <w:p w14:paraId="62BD2347" w14:textId="77777777" w:rsidR="007A679E" w:rsidRPr="007A679E" w:rsidRDefault="007A679E" w:rsidP="008B537B">
      <w:pPr>
        <w:ind w:left="-284"/>
        <w:rPr>
          <w:lang w:val="hr-HR"/>
        </w:rPr>
      </w:pPr>
    </w:p>
    <w:p w14:paraId="568EC67E" w14:textId="77777777" w:rsidR="007A679E" w:rsidRPr="007A679E" w:rsidRDefault="007A679E" w:rsidP="008B537B">
      <w:pPr>
        <w:pStyle w:val="Naslov1"/>
        <w:spacing w:before="0"/>
        <w:ind w:left="-284"/>
        <w:jc w:val="center"/>
        <w:rPr>
          <w:rFonts w:cstheme="majorHAnsi"/>
          <w:b/>
          <w:bCs/>
          <w:color w:val="auto"/>
          <w:sz w:val="24"/>
          <w:szCs w:val="24"/>
        </w:rPr>
      </w:pPr>
      <w:r w:rsidRPr="007A679E">
        <w:rPr>
          <w:rFonts w:cstheme="majorHAnsi"/>
          <w:b/>
          <w:bCs/>
          <w:color w:val="auto"/>
          <w:sz w:val="24"/>
          <w:szCs w:val="24"/>
        </w:rPr>
        <w:t>IV.</w:t>
      </w:r>
    </w:p>
    <w:p w14:paraId="3E61A98A" w14:textId="77777777" w:rsidR="007A679E" w:rsidRPr="007A679E" w:rsidRDefault="007A679E" w:rsidP="008B537B">
      <w:pPr>
        <w:pStyle w:val="Naslov1"/>
        <w:spacing w:before="0"/>
        <w:ind w:left="-284"/>
        <w:jc w:val="both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Ovaj Plan i tabela iz točke II.  ove odluke objavit će se na mrežnoj stranici Grada Novske </w:t>
      </w:r>
      <w:hyperlink r:id="rId8" w:history="1">
        <w:r w:rsidRPr="007A679E">
          <w:rPr>
            <w:rStyle w:val="Hiperveza"/>
            <w:rFonts w:cstheme="majorHAnsi"/>
            <w:sz w:val="24"/>
            <w:szCs w:val="24"/>
          </w:rPr>
          <w:t>www.novska.hr</w:t>
        </w:r>
      </w:hyperlink>
      <w:r w:rsidRPr="007A679E">
        <w:rPr>
          <w:rFonts w:cstheme="majorHAnsi"/>
          <w:color w:val="auto"/>
          <w:sz w:val="24"/>
          <w:szCs w:val="24"/>
        </w:rPr>
        <w:t xml:space="preserve">. </w:t>
      </w:r>
    </w:p>
    <w:p w14:paraId="43B1DDD6" w14:textId="77777777" w:rsidR="007A679E" w:rsidRPr="007A679E" w:rsidRDefault="007A679E" w:rsidP="008B537B">
      <w:pPr>
        <w:ind w:left="-284"/>
        <w:rPr>
          <w:rFonts w:asciiTheme="majorHAnsi" w:hAnsiTheme="majorHAnsi" w:cstheme="majorHAnsi"/>
        </w:rPr>
      </w:pPr>
    </w:p>
    <w:p w14:paraId="19983841" w14:textId="36623BFE" w:rsidR="007A679E" w:rsidRPr="007A679E" w:rsidRDefault="007A679E" w:rsidP="008B537B">
      <w:pPr>
        <w:pStyle w:val="Naslov1"/>
        <w:ind w:left="-284"/>
        <w:jc w:val="center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cstheme="majorHAnsi"/>
          <w:color w:val="auto"/>
          <w:sz w:val="24"/>
          <w:szCs w:val="24"/>
        </w:rPr>
        <w:t xml:space="preserve">              </w:t>
      </w:r>
      <w:r w:rsidRPr="007A679E">
        <w:rPr>
          <w:rFonts w:cstheme="majorHAnsi"/>
          <w:color w:val="auto"/>
          <w:sz w:val="24"/>
          <w:szCs w:val="24"/>
        </w:rPr>
        <w:t xml:space="preserve"> Gradonačelnica</w:t>
      </w:r>
    </w:p>
    <w:p w14:paraId="7FB2E376" w14:textId="77777777" w:rsidR="007A679E" w:rsidRDefault="007A679E" w:rsidP="008B537B">
      <w:pPr>
        <w:pStyle w:val="Naslov1"/>
        <w:ind w:left="-284"/>
        <w:jc w:val="right"/>
        <w:rPr>
          <w:rFonts w:cstheme="majorHAnsi"/>
          <w:color w:val="auto"/>
          <w:sz w:val="24"/>
          <w:szCs w:val="24"/>
        </w:rPr>
      </w:pPr>
      <w:r w:rsidRPr="007A679E">
        <w:rPr>
          <w:rFonts w:cstheme="majorHAnsi"/>
          <w:color w:val="auto"/>
          <w:sz w:val="24"/>
          <w:szCs w:val="24"/>
        </w:rPr>
        <w:t>Marija Kušmiš, mag.oec.</w:t>
      </w:r>
    </w:p>
    <w:p w14:paraId="0ADFC211" w14:textId="77777777" w:rsidR="007A679E" w:rsidRDefault="007A679E" w:rsidP="008B537B">
      <w:pPr>
        <w:ind w:left="-284"/>
        <w:rPr>
          <w:lang w:val="hr-HR"/>
        </w:rPr>
      </w:pPr>
    </w:p>
    <w:p w14:paraId="1CDFBE66" w14:textId="77777777" w:rsidR="007A679E" w:rsidRPr="007A679E" w:rsidRDefault="007A679E" w:rsidP="008B537B">
      <w:pPr>
        <w:ind w:left="-284"/>
        <w:rPr>
          <w:lang w:val="hr-HR"/>
        </w:rPr>
      </w:pPr>
    </w:p>
    <w:p w14:paraId="0CCD1B82" w14:textId="452D760E" w:rsidR="007A679E" w:rsidRPr="007A679E" w:rsidRDefault="00380D74" w:rsidP="007A679E">
      <w:pPr>
        <w:ind w:left="-56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  <w:t>Prilog: Tabela – PLAN SAVJETOVANJA SA ZAINTERESIRANOM JAVNOŠĆU ZA 2024. GODINU</w:t>
      </w:r>
    </w:p>
    <w:p w14:paraId="33A50499" w14:textId="77777777" w:rsidR="007A679E" w:rsidRPr="007A679E" w:rsidRDefault="007A679E" w:rsidP="007C68AD">
      <w:pPr>
        <w:tabs>
          <w:tab w:val="left" w:pos="1985"/>
        </w:tabs>
        <w:ind w:left="-709"/>
        <w:rPr>
          <w:rFonts w:asciiTheme="majorHAnsi" w:hAnsiTheme="majorHAnsi" w:cstheme="majorHAnsi"/>
        </w:rPr>
      </w:pPr>
    </w:p>
    <w:tbl>
      <w:tblPr>
        <w:tblStyle w:val="Reetkatablice"/>
        <w:tblW w:w="102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2014"/>
        <w:gridCol w:w="1446"/>
        <w:gridCol w:w="964"/>
        <w:gridCol w:w="1304"/>
        <w:gridCol w:w="1560"/>
        <w:gridCol w:w="14"/>
      </w:tblGrid>
      <w:tr w:rsidR="007A679E" w:rsidRPr="00120DD8" w14:paraId="7963A2C4" w14:textId="77777777" w:rsidTr="007C68AD">
        <w:tc>
          <w:tcPr>
            <w:tcW w:w="10279" w:type="dxa"/>
            <w:gridSpan w:val="8"/>
            <w:shd w:val="clear" w:color="auto" w:fill="E5B8B7" w:themeFill="accent2" w:themeFillTint="66"/>
          </w:tcPr>
          <w:p w14:paraId="5CAE282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TABELA - PLAN SAVJETOVANJA SA ZAINTERESIRANOM JAVNOŠĆU ZA 2024. GODINU</w:t>
            </w:r>
          </w:p>
          <w:p w14:paraId="2047B125" w14:textId="77777777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7CFF673C" w14:textId="77777777" w:rsidTr="007C68AD">
        <w:trPr>
          <w:gridAfter w:val="1"/>
          <w:wAfter w:w="14" w:type="dxa"/>
          <w:cantSplit/>
          <w:trHeight w:val="1383"/>
        </w:trPr>
        <w:tc>
          <w:tcPr>
            <w:tcW w:w="738" w:type="dxa"/>
            <w:shd w:val="clear" w:color="auto" w:fill="F2DBDB" w:themeFill="accent2" w:themeFillTint="33"/>
          </w:tcPr>
          <w:p w14:paraId="7E684098" w14:textId="77777777" w:rsidR="007A679E" w:rsidRPr="00120DD8" w:rsidRDefault="007A679E" w:rsidP="00DA2DDE">
            <w:pPr>
              <w:rPr>
                <w:rFonts w:asciiTheme="majorHAnsi" w:hAnsiTheme="majorHAnsi" w:cstheme="majorHAnsi"/>
                <w:b/>
              </w:rPr>
            </w:pPr>
          </w:p>
          <w:p w14:paraId="0083101E" w14:textId="77777777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</w:p>
          <w:p w14:paraId="1ECF5B21" w14:textId="77777777" w:rsidR="007C68AD" w:rsidRPr="00120DD8" w:rsidRDefault="007C68AD" w:rsidP="00DA2DDE">
            <w:pPr>
              <w:rPr>
                <w:rFonts w:asciiTheme="majorHAnsi" w:hAnsiTheme="majorHAnsi" w:cstheme="majorHAnsi"/>
              </w:rPr>
            </w:pPr>
          </w:p>
          <w:p w14:paraId="3F0DFCFB" w14:textId="7358555A" w:rsidR="007A679E" w:rsidRPr="00120DD8" w:rsidRDefault="007A679E" w:rsidP="00DA2DDE">
            <w:pPr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R.BR.</w:t>
            </w:r>
          </w:p>
        </w:tc>
        <w:tc>
          <w:tcPr>
            <w:tcW w:w="2239" w:type="dxa"/>
            <w:shd w:val="clear" w:color="auto" w:fill="F2DBDB" w:themeFill="accent2" w:themeFillTint="33"/>
          </w:tcPr>
          <w:p w14:paraId="16AEF7D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 xml:space="preserve">                   </w:t>
            </w:r>
          </w:p>
          <w:p w14:paraId="51678D96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AF851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49195C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NAZIV AKTA</w:t>
            </w:r>
          </w:p>
          <w:p w14:paraId="202BC5A4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A49EFF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187598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08178F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520B548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4" w:type="dxa"/>
            <w:shd w:val="clear" w:color="auto" w:fill="F2DBDB" w:themeFill="accent2" w:themeFillTint="33"/>
            <w:textDirection w:val="btLr"/>
          </w:tcPr>
          <w:p w14:paraId="17B7B2D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4A11E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B5F2E3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NOSITELJ IZRADE/NACRTA PRIJEDLOGA AKATA</w:t>
            </w:r>
          </w:p>
        </w:tc>
        <w:tc>
          <w:tcPr>
            <w:tcW w:w="1446" w:type="dxa"/>
            <w:shd w:val="clear" w:color="auto" w:fill="F2DBDB" w:themeFill="accent2" w:themeFillTint="33"/>
            <w:textDirection w:val="btLr"/>
          </w:tcPr>
          <w:p w14:paraId="0933B30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67CEBD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OČEKIVANO VRIJEME DONOŠENJA AKTA</w:t>
            </w:r>
          </w:p>
          <w:p w14:paraId="6C72EF2A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(KVARTALNO)</w:t>
            </w:r>
          </w:p>
        </w:tc>
        <w:tc>
          <w:tcPr>
            <w:tcW w:w="964" w:type="dxa"/>
            <w:shd w:val="clear" w:color="auto" w:fill="F2DBDB" w:themeFill="accent2" w:themeFillTint="33"/>
            <w:textDirection w:val="btLr"/>
          </w:tcPr>
          <w:p w14:paraId="104E1B8B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1F834B96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OKVIRNO VRIJEME PROVEDBE INTERNETSKOG SAVJETOVANJA</w:t>
            </w:r>
          </w:p>
        </w:tc>
        <w:tc>
          <w:tcPr>
            <w:tcW w:w="1304" w:type="dxa"/>
            <w:shd w:val="clear" w:color="auto" w:fill="F2DBDB" w:themeFill="accent2" w:themeFillTint="33"/>
            <w:textDirection w:val="btLr"/>
          </w:tcPr>
          <w:p w14:paraId="0AF773CA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5221CBFF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OSTALI PREDVIĐENI NAČIN PROVEDBE SAVJETOVANJA</w:t>
            </w:r>
          </w:p>
        </w:tc>
        <w:tc>
          <w:tcPr>
            <w:tcW w:w="1560" w:type="dxa"/>
            <w:shd w:val="clear" w:color="auto" w:fill="F2DBDB" w:themeFill="accent2" w:themeFillTint="33"/>
            <w:textDirection w:val="btLr"/>
          </w:tcPr>
          <w:p w14:paraId="759BD7A4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6AC9EE5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DONOSITELJ AKATA</w:t>
            </w:r>
          </w:p>
          <w:p w14:paraId="57589BD2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7D5E9F07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207C448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6F01D7FE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  <w:p w14:paraId="34C8234F" w14:textId="77777777" w:rsidR="007A679E" w:rsidRPr="00120DD8" w:rsidRDefault="007A679E" w:rsidP="00DA2DDE">
            <w:pPr>
              <w:ind w:lef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1C1D7E3D" w14:textId="77777777" w:rsidTr="007C68AD">
        <w:trPr>
          <w:gridAfter w:val="1"/>
          <w:wAfter w:w="14" w:type="dxa"/>
          <w:cantSplit/>
          <w:trHeight w:val="1134"/>
        </w:trPr>
        <w:tc>
          <w:tcPr>
            <w:tcW w:w="738" w:type="dxa"/>
          </w:tcPr>
          <w:p w14:paraId="6D286B5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2239" w:type="dxa"/>
          </w:tcPr>
          <w:p w14:paraId="42AA12D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 zajedničkom obavljanju djelatnosti predškolskog odgoja i obrazovanja Grada Novske i Općine Jasenovac u Dječjem vrtiću Radost Novska</w:t>
            </w:r>
          </w:p>
        </w:tc>
        <w:tc>
          <w:tcPr>
            <w:tcW w:w="2014" w:type="dxa"/>
          </w:tcPr>
          <w:p w14:paraId="11A0904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57CCB289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62EA266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4BD1430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05EB37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441E21B" w14:textId="77777777" w:rsidTr="007C68AD">
        <w:trPr>
          <w:gridAfter w:val="1"/>
          <w:wAfter w:w="14" w:type="dxa"/>
          <w:cantSplit/>
          <w:trHeight w:val="1108"/>
        </w:trPr>
        <w:tc>
          <w:tcPr>
            <w:tcW w:w="738" w:type="dxa"/>
          </w:tcPr>
          <w:p w14:paraId="597645EA" w14:textId="49EECC91" w:rsidR="007A679E" w:rsidRPr="00120DD8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2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2964F807" w14:textId="1C3ACCCF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 xml:space="preserve">Odluka o </w:t>
            </w:r>
            <w:r w:rsidR="00BE289A" w:rsidRPr="00120DD8">
              <w:rPr>
                <w:rFonts w:asciiTheme="majorHAnsi" w:hAnsiTheme="majorHAnsi" w:cstheme="majorHAnsi"/>
              </w:rPr>
              <w:t>novčanim i drugim roditeljskim potporama za novorođeno dijete na području Grada Novske</w:t>
            </w:r>
            <w:r w:rsidRPr="00120DD8">
              <w:rPr>
                <w:rFonts w:asciiTheme="majorHAnsi" w:hAnsiTheme="majorHAnsi" w:cstheme="majorHAnsi"/>
              </w:rPr>
              <w:t xml:space="preserve"> </w:t>
            </w:r>
          </w:p>
          <w:p w14:paraId="218BEC1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14" w:type="dxa"/>
          </w:tcPr>
          <w:p w14:paraId="0FED66D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218EB48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7AAF5209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2EB24AC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1EAA8A4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  <w:p w14:paraId="22543A00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7A679E" w:rsidRPr="00120DD8" w14:paraId="3451F6E9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1A9CE2CA" w14:textId="256C4D82" w:rsidR="007A679E" w:rsidRPr="00120DD8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3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0FB51E4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VII. izmjene i dopune Programa poticanja razvoja malog i srednjeg poduzetništva na području Grada Novske za 2021.-2025. godinu</w:t>
            </w:r>
          </w:p>
        </w:tc>
        <w:tc>
          <w:tcPr>
            <w:tcW w:w="2014" w:type="dxa"/>
          </w:tcPr>
          <w:p w14:paraId="32563FF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31DFA6F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  <w:p w14:paraId="6C1618B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26BF186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C17B489" w14:textId="77777777" w:rsidR="007A679E" w:rsidRPr="00120DD8" w:rsidRDefault="007A679E" w:rsidP="00DA2DDE">
            <w:pPr>
              <w:pStyle w:val="Odlomakpopisa"/>
              <w:ind w:left="1800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I.I.</w:t>
            </w:r>
          </w:p>
        </w:tc>
        <w:tc>
          <w:tcPr>
            <w:tcW w:w="964" w:type="dxa"/>
          </w:tcPr>
          <w:p w14:paraId="0475971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E31B3A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  <w:p w14:paraId="43C6024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extDirection w:val="btLr"/>
          </w:tcPr>
          <w:p w14:paraId="1E5169BB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622B7567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77A2987" w14:textId="07C46819" w:rsidR="007A679E" w:rsidRPr="00120DD8" w:rsidRDefault="00A01B1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4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497F490" w14:textId="3A2C2E62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</w:t>
            </w:r>
            <w:r w:rsidR="003B0369" w:rsidRPr="00120DD8">
              <w:rPr>
                <w:rFonts w:asciiTheme="majorHAnsi" w:hAnsiTheme="majorHAnsi" w:cstheme="majorHAnsi"/>
              </w:rPr>
              <w:t>V</w:t>
            </w:r>
            <w:r w:rsidRPr="00120DD8">
              <w:rPr>
                <w:rFonts w:asciiTheme="majorHAnsi" w:hAnsiTheme="majorHAnsi" w:cstheme="majorHAnsi"/>
              </w:rPr>
              <w:t>. izmjene i dopune Programa potpora poljoprivredi i ruralnom razvoju na području Grada Novske za</w:t>
            </w:r>
            <w:r w:rsidR="003B0369" w:rsidRPr="00120DD8">
              <w:rPr>
                <w:rFonts w:asciiTheme="majorHAnsi" w:hAnsiTheme="majorHAnsi" w:cstheme="majorHAnsi"/>
              </w:rPr>
              <w:t xml:space="preserve"> razdoblje</w:t>
            </w:r>
            <w:r w:rsidRPr="00120DD8">
              <w:rPr>
                <w:rFonts w:asciiTheme="majorHAnsi" w:hAnsiTheme="majorHAnsi" w:cstheme="majorHAnsi"/>
              </w:rPr>
              <w:t xml:space="preserve"> 2016.-202</w:t>
            </w:r>
            <w:r w:rsidR="003B0369" w:rsidRPr="00120DD8">
              <w:rPr>
                <w:rFonts w:asciiTheme="majorHAnsi" w:hAnsiTheme="majorHAnsi" w:cstheme="majorHAnsi"/>
              </w:rPr>
              <w:t>3</w:t>
            </w:r>
            <w:r w:rsidRPr="00120DD8">
              <w:rPr>
                <w:rFonts w:asciiTheme="majorHAnsi" w:hAnsiTheme="majorHAnsi" w:cstheme="majorHAnsi"/>
              </w:rPr>
              <w:t>. godinu</w:t>
            </w:r>
          </w:p>
        </w:tc>
        <w:tc>
          <w:tcPr>
            <w:tcW w:w="2014" w:type="dxa"/>
          </w:tcPr>
          <w:p w14:paraId="448E0DF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18BA3B16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3B796E9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C95830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  <w:p w14:paraId="4ECFB4E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extDirection w:val="btLr"/>
          </w:tcPr>
          <w:p w14:paraId="115AC45A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F46A64" w:rsidRPr="00120DD8" w14:paraId="53ADFF1D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501ED82" w14:textId="6B698A38" w:rsidR="00F46A64" w:rsidRPr="00120DD8" w:rsidRDefault="00F46A64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2239" w:type="dxa"/>
          </w:tcPr>
          <w:p w14:paraId="66018BCF" w14:textId="056A1FEC" w:rsidR="00F46A64" w:rsidRPr="00120DD8" w:rsidRDefault="00F46A64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VII. Izmjene i dopune Programa poticanja razvoja malog i srednjeg poduzetništva Grada Novske za 2021-2025.</w:t>
            </w:r>
          </w:p>
        </w:tc>
        <w:tc>
          <w:tcPr>
            <w:tcW w:w="2014" w:type="dxa"/>
          </w:tcPr>
          <w:p w14:paraId="645D8081" w14:textId="3B6A863F" w:rsidR="00F46A64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gospodarstvo i poljoprivredu</w:t>
            </w:r>
          </w:p>
        </w:tc>
        <w:tc>
          <w:tcPr>
            <w:tcW w:w="1446" w:type="dxa"/>
          </w:tcPr>
          <w:p w14:paraId="0781013A" w14:textId="77777777" w:rsidR="00F46A64" w:rsidRPr="00120DD8" w:rsidRDefault="00F46A64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1A8DF4F" w14:textId="77777777" w:rsidR="007C68AD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7217BBD0" w14:textId="7490F38D" w:rsidR="007C68AD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3EF5286D" w14:textId="77777777" w:rsidR="007C68AD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 xml:space="preserve">30 </w:t>
            </w:r>
          </w:p>
          <w:p w14:paraId="138D0A6F" w14:textId="6354956B" w:rsidR="00F46A64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1304" w:type="dxa"/>
          </w:tcPr>
          <w:p w14:paraId="24D5FF25" w14:textId="700A10B3" w:rsidR="00F46A64" w:rsidRPr="00120DD8" w:rsidRDefault="007C68AD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0A9F879" w14:textId="0002553D" w:rsidR="00F46A64" w:rsidRPr="00120DD8" w:rsidRDefault="007C68AD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395EC0B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16C7D65" w14:textId="4BB736DF" w:rsidR="007A679E" w:rsidRPr="00120DD8" w:rsidRDefault="006A2CD1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6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7A136C7F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 izmjenama i dopunama Odluke o komunalnom doprinosu</w:t>
            </w:r>
          </w:p>
        </w:tc>
        <w:tc>
          <w:tcPr>
            <w:tcW w:w="2014" w:type="dxa"/>
          </w:tcPr>
          <w:p w14:paraId="5636380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911248F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21B479F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3B8921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AC93227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14559758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798D2ECB" w14:textId="3EA30844" w:rsidR="007A679E" w:rsidRPr="00120DD8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384928E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 proglašenju  komunalne infrastrukture javnim dobrom u općoj uporabi</w:t>
            </w:r>
          </w:p>
        </w:tc>
        <w:tc>
          <w:tcPr>
            <w:tcW w:w="2014" w:type="dxa"/>
          </w:tcPr>
          <w:p w14:paraId="69B38CE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2832138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I.</w:t>
            </w:r>
          </w:p>
        </w:tc>
        <w:tc>
          <w:tcPr>
            <w:tcW w:w="964" w:type="dxa"/>
          </w:tcPr>
          <w:p w14:paraId="2422E03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9000866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414F2545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20DD8" w:rsidRPr="00120DD8" w14:paraId="3404A74A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262D3B6D" w14:textId="60616194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2239" w:type="dxa"/>
          </w:tcPr>
          <w:p w14:paraId="304D826A" w14:textId="09E3BD9C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Odluka o sudjelovanju roditelja u cijeni programa Dječjeg vrtića Radost Novska</w:t>
            </w:r>
          </w:p>
        </w:tc>
        <w:tc>
          <w:tcPr>
            <w:tcW w:w="2014" w:type="dxa"/>
          </w:tcPr>
          <w:p w14:paraId="2890F0BB" w14:textId="19DB2FD6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društvene djelatnosti, pravne poslove i javnu nabavu</w:t>
            </w:r>
          </w:p>
        </w:tc>
        <w:tc>
          <w:tcPr>
            <w:tcW w:w="1446" w:type="dxa"/>
          </w:tcPr>
          <w:p w14:paraId="516716BC" w14:textId="1A324C03" w:rsid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III.</w:t>
            </w:r>
          </w:p>
          <w:p w14:paraId="5B6FEFB4" w14:textId="77777777" w:rsidR="00120DD8" w:rsidRPr="00120DD8" w:rsidRDefault="00120DD8" w:rsidP="00120DD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64" w:type="dxa"/>
          </w:tcPr>
          <w:p w14:paraId="704BA7F3" w14:textId="1F1AC5AA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21771422" w14:textId="4F457C61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04C23C1" w14:textId="6C89F744" w:rsidR="00120DD8" w:rsidRPr="00120DD8" w:rsidRDefault="00120DD8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5D452FBA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329BC530" w14:textId="10C57B3B" w:rsidR="007A679E" w:rsidRPr="00120DD8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9</w:t>
            </w:r>
            <w:r w:rsidR="007A679E"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1CE8A173" w14:textId="4087E153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</w:t>
            </w:r>
            <w:r w:rsidR="00120DD8" w:rsidRPr="00120DD8">
              <w:rPr>
                <w:rFonts w:asciiTheme="majorHAnsi" w:hAnsiTheme="majorHAnsi" w:cstheme="majorHAnsi"/>
              </w:rPr>
              <w:t xml:space="preserve"> programu mjera za poticanje rješavanja stambenog pitanja mladih obitelji na području Grada Novske</w:t>
            </w:r>
            <w:r w:rsidRPr="00120DD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14" w:type="dxa"/>
          </w:tcPr>
          <w:p w14:paraId="2386788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8CB3613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26E65EF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6ED6823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64DAF27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20DD8" w:rsidRPr="00120DD8" w14:paraId="313AD43B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5839448B" w14:textId="0572BCFC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2239" w:type="dxa"/>
          </w:tcPr>
          <w:p w14:paraId="28077598" w14:textId="639A094E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Akcijski plan energetski održivog razvitka prilagodbe klimatskim promjenama</w:t>
            </w:r>
          </w:p>
        </w:tc>
        <w:tc>
          <w:tcPr>
            <w:tcW w:w="2014" w:type="dxa"/>
          </w:tcPr>
          <w:p w14:paraId="41370DAD" w14:textId="33163A9F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78148E4B" w14:textId="0ECAF939" w:rsidR="00120DD8" w:rsidRPr="00120DD8" w:rsidRDefault="00120DD8" w:rsidP="00120DD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</w:t>
            </w:r>
            <w:r w:rsidRPr="00120DD8"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47A3DB64" w14:textId="3E42DA4F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742466D0" w14:textId="5D4F1043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33893173" w14:textId="626012E1" w:rsidR="00120DD8" w:rsidRPr="00120DD8" w:rsidRDefault="00120DD8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120DD8" w:rsidRPr="00120DD8" w14:paraId="43D84EA4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3A8842A8" w14:textId="54C869BF" w:rsidR="00120DD8" w:rsidRDefault="00120DD8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2239" w:type="dxa"/>
          </w:tcPr>
          <w:p w14:paraId="1872012C" w14:textId="221A15E4" w:rsidR="00120DD8" w:rsidRP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Strategija zelene urbane obnove Grada Novske</w:t>
            </w:r>
          </w:p>
        </w:tc>
        <w:tc>
          <w:tcPr>
            <w:tcW w:w="2014" w:type="dxa"/>
          </w:tcPr>
          <w:p w14:paraId="68A3BC2A" w14:textId="2289925B" w:rsidR="00120DD8" w:rsidRPr="00120DD8" w:rsidRDefault="00120DD8" w:rsidP="00120DD8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6C768686" w14:textId="2961D6DD" w:rsidR="00120DD8" w:rsidRDefault="00120DD8" w:rsidP="00120DD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1A13B8C5" w14:textId="14FFE2BB" w:rsid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01A41B3D" w14:textId="0A4B275F" w:rsidR="00120DD8" w:rsidRDefault="00120DD8" w:rsidP="00DA2DD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0FB59315" w14:textId="1100A4CD" w:rsidR="00120DD8" w:rsidRPr="00120DD8" w:rsidRDefault="00120DD8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3D77EC19" w14:textId="77777777" w:rsidTr="007C68AD">
        <w:trPr>
          <w:gridAfter w:val="1"/>
          <w:wAfter w:w="14" w:type="dxa"/>
          <w:cantSplit/>
          <w:trHeight w:val="1498"/>
        </w:trPr>
        <w:tc>
          <w:tcPr>
            <w:tcW w:w="738" w:type="dxa"/>
          </w:tcPr>
          <w:p w14:paraId="4244D421" w14:textId="5B861771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1</w:t>
            </w:r>
            <w:r w:rsidR="006A2CD1">
              <w:rPr>
                <w:rFonts w:asciiTheme="majorHAnsi" w:hAnsiTheme="majorHAnsi" w:cstheme="majorHAnsi"/>
                <w:b/>
              </w:rPr>
              <w:t>2</w:t>
            </w:r>
            <w:r w:rsidRPr="00120DD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2239" w:type="dxa"/>
          </w:tcPr>
          <w:p w14:paraId="658ABC7E" w14:textId="0105CFB0" w:rsidR="007A679E" w:rsidRPr="00120DD8" w:rsidRDefault="006A2CD1" w:rsidP="006A2CD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Odluka o izmjeni Odluke o nerazvrstanim cestama na području Grada Novske</w:t>
            </w:r>
          </w:p>
        </w:tc>
        <w:tc>
          <w:tcPr>
            <w:tcW w:w="2014" w:type="dxa"/>
          </w:tcPr>
          <w:p w14:paraId="166E2B0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 komunalni sustav, prostorno planiranje i zaštitu okoliša</w:t>
            </w:r>
          </w:p>
        </w:tc>
        <w:tc>
          <w:tcPr>
            <w:tcW w:w="1446" w:type="dxa"/>
          </w:tcPr>
          <w:p w14:paraId="1B76868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III.</w:t>
            </w:r>
          </w:p>
        </w:tc>
        <w:tc>
          <w:tcPr>
            <w:tcW w:w="964" w:type="dxa"/>
          </w:tcPr>
          <w:p w14:paraId="2D14166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76AD3992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E869E68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336D0579" w14:textId="77777777" w:rsidTr="007C68AD">
        <w:trPr>
          <w:gridAfter w:val="1"/>
          <w:wAfter w:w="14" w:type="dxa"/>
          <w:cantSplit/>
          <w:trHeight w:val="1395"/>
        </w:trPr>
        <w:tc>
          <w:tcPr>
            <w:tcW w:w="738" w:type="dxa"/>
          </w:tcPr>
          <w:p w14:paraId="427D8FBC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13.</w:t>
            </w:r>
          </w:p>
        </w:tc>
        <w:tc>
          <w:tcPr>
            <w:tcW w:w="2239" w:type="dxa"/>
          </w:tcPr>
          <w:p w14:paraId="65FFF05E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Plan Proračuna Grada Novske za 2025. i projekcija za 2026. i 2027. godinu</w:t>
            </w:r>
          </w:p>
        </w:tc>
        <w:tc>
          <w:tcPr>
            <w:tcW w:w="2014" w:type="dxa"/>
          </w:tcPr>
          <w:p w14:paraId="26B53485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0AC9B26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48C8C98F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59E95B19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6858BA5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2EF1FA9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1427624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45F1F517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6E544F24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</w:tc>
      </w:tr>
      <w:tr w:rsidR="007A679E" w:rsidRPr="00120DD8" w14:paraId="65D41F93" w14:textId="77777777" w:rsidTr="007C68AD">
        <w:trPr>
          <w:gridAfter w:val="1"/>
          <w:wAfter w:w="14" w:type="dxa"/>
          <w:cantSplit/>
          <w:trHeight w:val="1265"/>
        </w:trPr>
        <w:tc>
          <w:tcPr>
            <w:tcW w:w="738" w:type="dxa"/>
          </w:tcPr>
          <w:p w14:paraId="7877D449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817F2D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20DD8">
              <w:rPr>
                <w:rFonts w:asciiTheme="majorHAnsi" w:hAnsiTheme="majorHAnsi" w:cstheme="majorHAnsi"/>
                <w:b/>
              </w:rPr>
              <w:t>14.</w:t>
            </w:r>
          </w:p>
          <w:p w14:paraId="39CC5243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239" w:type="dxa"/>
          </w:tcPr>
          <w:p w14:paraId="6E7CAF9A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Odluka o izvršenju Proračuna Grada Novske za 2025. godinu</w:t>
            </w:r>
          </w:p>
        </w:tc>
        <w:tc>
          <w:tcPr>
            <w:tcW w:w="2014" w:type="dxa"/>
          </w:tcPr>
          <w:p w14:paraId="406989E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2BDD20FD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Upravni odjel za proračun i financije</w:t>
            </w:r>
          </w:p>
        </w:tc>
        <w:tc>
          <w:tcPr>
            <w:tcW w:w="1446" w:type="dxa"/>
          </w:tcPr>
          <w:p w14:paraId="5D47663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7296A28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IV.</w:t>
            </w:r>
          </w:p>
        </w:tc>
        <w:tc>
          <w:tcPr>
            <w:tcW w:w="964" w:type="dxa"/>
          </w:tcPr>
          <w:p w14:paraId="2ADA4504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1296850B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30 dana</w:t>
            </w:r>
          </w:p>
        </w:tc>
        <w:tc>
          <w:tcPr>
            <w:tcW w:w="1304" w:type="dxa"/>
          </w:tcPr>
          <w:p w14:paraId="337AC1A0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</w:p>
          <w:p w14:paraId="0762EDAC" w14:textId="77777777" w:rsidR="007A679E" w:rsidRPr="00120DD8" w:rsidRDefault="007A679E" w:rsidP="00DA2DDE">
            <w:pPr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NE</w:t>
            </w:r>
          </w:p>
        </w:tc>
        <w:tc>
          <w:tcPr>
            <w:tcW w:w="1560" w:type="dxa"/>
            <w:textDirection w:val="btLr"/>
          </w:tcPr>
          <w:p w14:paraId="79448B17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120DD8">
              <w:rPr>
                <w:rFonts w:asciiTheme="majorHAnsi" w:hAnsiTheme="majorHAnsi" w:cstheme="majorHAnsi"/>
              </w:rPr>
              <w:t>Gradsko vijeće</w:t>
            </w:r>
          </w:p>
          <w:p w14:paraId="5598E69E" w14:textId="77777777" w:rsidR="007A679E" w:rsidRPr="00120DD8" w:rsidRDefault="007A679E" w:rsidP="00DA2DDE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5B02929" w14:textId="77777777" w:rsidR="007A679E" w:rsidRPr="00120DD8" w:rsidRDefault="007A679E" w:rsidP="00710A78">
      <w:pPr>
        <w:ind w:hanging="426"/>
        <w:rPr>
          <w:rFonts w:asciiTheme="majorHAnsi" w:hAnsiTheme="majorHAnsi" w:cstheme="majorHAnsi"/>
          <w:sz w:val="22"/>
          <w:szCs w:val="22"/>
        </w:rPr>
      </w:pPr>
    </w:p>
    <w:p w14:paraId="537485B6" w14:textId="77777777" w:rsidR="007A679E" w:rsidRPr="00120DD8" w:rsidRDefault="007A679E" w:rsidP="00710A78">
      <w:pPr>
        <w:ind w:hanging="426"/>
        <w:rPr>
          <w:rFonts w:asciiTheme="majorHAnsi" w:hAnsiTheme="majorHAnsi" w:cstheme="majorHAnsi"/>
          <w:sz w:val="22"/>
          <w:szCs w:val="22"/>
        </w:rPr>
      </w:pPr>
    </w:p>
    <w:p w14:paraId="394826B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07AF69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021267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C3843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11AEA22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E77015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E44BB9E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A70939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EC4D33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E66BD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D4C0D5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74F4B4E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0CA9B2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AAAE5AB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CFA264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52D4CC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44874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25F497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D71C46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19003C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E1A6811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FA6BF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38C11A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7F0BAF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F50734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6E80957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08BAB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8FE3A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C25E2B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32300940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C1FE49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AD23DB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A6DD29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8E39A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6A85D3F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9A4B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62E3CD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B9E471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46D310D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9D80249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9C3922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1EECA73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FD3A8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3476A4C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8E20EEA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4ADBF735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CC498E8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11D21914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0582B7E6" w14:textId="77777777" w:rsidR="00291680" w:rsidRPr="00120DD8" w:rsidRDefault="00291680" w:rsidP="0065152A">
      <w:pPr>
        <w:tabs>
          <w:tab w:val="right" w:pos="8306"/>
        </w:tabs>
        <w:ind w:left="-567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B1E9FA2" w14:textId="77777777" w:rsidR="00645D0E" w:rsidRPr="00120DD8" w:rsidRDefault="00645D0E" w:rsidP="00645D0E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75E66257" w14:textId="77777777" w:rsidR="00E6330C" w:rsidRPr="00120DD8" w:rsidRDefault="00E6330C" w:rsidP="00E6330C">
      <w:pPr>
        <w:tabs>
          <w:tab w:val="left" w:pos="-567"/>
        </w:tabs>
        <w:spacing w:line="480" w:lineRule="auto"/>
        <w:ind w:left="-426" w:right="-674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540B868D" w14:textId="4E4E6BF0" w:rsidR="002F45B6" w:rsidRPr="00120DD8" w:rsidRDefault="002F45B6" w:rsidP="00E6330C">
      <w:pPr>
        <w:tabs>
          <w:tab w:val="right" w:pos="8306"/>
        </w:tabs>
        <w:spacing w:line="480" w:lineRule="auto"/>
        <w:ind w:left="-426"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7971805" w14:textId="77777777" w:rsidR="002F45B6" w:rsidRPr="00120DD8" w:rsidRDefault="002F45B6" w:rsidP="00E6330C">
      <w:pPr>
        <w:tabs>
          <w:tab w:val="right" w:pos="8306"/>
        </w:tabs>
        <w:spacing w:line="360" w:lineRule="auto"/>
        <w:ind w:left="-426"/>
        <w:jc w:val="center"/>
        <w:rPr>
          <w:rFonts w:asciiTheme="majorHAnsi" w:hAnsiTheme="majorHAnsi" w:cstheme="majorHAnsi"/>
          <w:sz w:val="22"/>
          <w:szCs w:val="22"/>
          <w:lang w:val="hr-HR"/>
        </w:rPr>
      </w:pPr>
    </w:p>
    <w:p w14:paraId="6C6208FD" w14:textId="77777777" w:rsidR="002F45B6" w:rsidRPr="00120DD8" w:rsidRDefault="002F45B6" w:rsidP="002F45B6">
      <w:pPr>
        <w:tabs>
          <w:tab w:val="right" w:pos="8306"/>
        </w:tabs>
        <w:ind w:left="-426"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6AD6F30F" w14:textId="77777777" w:rsidR="002F45B6" w:rsidRPr="00120DD8" w:rsidRDefault="002F45B6" w:rsidP="003A462E">
      <w:pPr>
        <w:tabs>
          <w:tab w:val="right" w:pos="8306"/>
        </w:tabs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8C9DC13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330C9D3E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  <w:r w:rsidRPr="00120DD8">
        <w:rPr>
          <w:rFonts w:asciiTheme="majorHAnsi" w:hAnsiTheme="majorHAnsi" w:cstheme="majorHAnsi"/>
          <w:sz w:val="22"/>
          <w:szCs w:val="22"/>
        </w:rPr>
        <w:t xml:space="preserve">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          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</w:r>
    </w:p>
    <w:p w14:paraId="05F93349" w14:textId="77777777" w:rsidR="003A462E" w:rsidRPr="00120DD8" w:rsidRDefault="003A462E" w:rsidP="003A462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D3CE8C" w14:textId="152F0917" w:rsidR="008616FA" w:rsidRPr="00120DD8" w:rsidRDefault="003A462E" w:rsidP="00AA56E3">
      <w:pPr>
        <w:ind w:left="5664"/>
        <w:jc w:val="both"/>
        <w:rPr>
          <w:rFonts w:asciiTheme="majorHAnsi" w:hAnsiTheme="majorHAnsi" w:cstheme="majorHAnsi"/>
          <w:sz w:val="22"/>
          <w:szCs w:val="22"/>
        </w:rPr>
        <w:sectPr w:rsidR="008616FA" w:rsidRPr="00120DD8" w:rsidSect="007C68A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268" w:bottom="1440" w:left="993" w:header="851" w:footer="384" w:gutter="0"/>
          <w:cols w:space="708"/>
          <w:titlePg/>
          <w:docGrid w:linePitch="360"/>
        </w:sectPr>
      </w:pPr>
      <w:r w:rsidRPr="00120DD8">
        <w:rPr>
          <w:rFonts w:asciiTheme="majorHAnsi" w:hAnsiTheme="majorHAnsi" w:cstheme="majorHAnsi"/>
          <w:sz w:val="22"/>
          <w:szCs w:val="22"/>
        </w:rPr>
        <w:t xml:space="preserve">        </w:t>
      </w:r>
      <w:r w:rsidRPr="00120DD8">
        <w:rPr>
          <w:rFonts w:asciiTheme="majorHAnsi" w:hAnsiTheme="majorHAnsi" w:cstheme="majorHAnsi"/>
          <w:sz w:val="22"/>
          <w:szCs w:val="22"/>
        </w:rPr>
        <w:tab/>
      </w:r>
      <w:r w:rsidRPr="00120DD8">
        <w:rPr>
          <w:rFonts w:asciiTheme="majorHAnsi" w:hAnsiTheme="majorHAnsi" w:cstheme="majorHAnsi"/>
          <w:sz w:val="22"/>
          <w:szCs w:val="22"/>
        </w:rPr>
        <w:tab/>
        <w:t xml:space="preserve">     </w:t>
      </w:r>
    </w:p>
    <w:p w14:paraId="62A792F2" w14:textId="77777777" w:rsidR="00FF6DF2" w:rsidRDefault="00FF6DF2"/>
    <w:sectPr w:rsidR="00FF6DF2" w:rsidSect="009323A5">
      <w:headerReference w:type="first" r:id="rId13"/>
      <w:pgSz w:w="11900" w:h="16840"/>
      <w:pgMar w:top="1440" w:right="0" w:bottom="1440" w:left="1800" w:header="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9761" w14:textId="77777777" w:rsidR="008616FA" w:rsidRDefault="008616FA" w:rsidP="008616FA">
      <w:r>
        <w:separator/>
      </w:r>
    </w:p>
  </w:endnote>
  <w:endnote w:type="continuationSeparator" w:id="0">
    <w:p w14:paraId="41754A77" w14:textId="77777777" w:rsidR="008616FA" w:rsidRDefault="008616FA" w:rsidP="0086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F6DA" w14:textId="6E152C9B" w:rsidR="008616FA" w:rsidRDefault="008616FA" w:rsidP="009323A5">
    <w:pPr>
      <w:pStyle w:val="Podnoje"/>
      <w:ind w:left="-1134" w:right="-17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B491" w14:textId="7E8276D1" w:rsidR="008616FA" w:rsidRDefault="008616FA" w:rsidP="009323A5">
    <w:pPr>
      <w:pStyle w:val="Podnoj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2FB2" w14:textId="77777777" w:rsidR="008616FA" w:rsidRDefault="008616FA" w:rsidP="008616FA">
      <w:r>
        <w:separator/>
      </w:r>
    </w:p>
  </w:footnote>
  <w:footnote w:type="continuationSeparator" w:id="0">
    <w:p w14:paraId="40D918D2" w14:textId="77777777" w:rsidR="008616FA" w:rsidRDefault="008616FA" w:rsidP="0086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A33F" w14:textId="0CA16FC6" w:rsidR="008616FA" w:rsidRDefault="008616FA" w:rsidP="009323A5">
    <w:pPr>
      <w:pStyle w:val="Zaglavlje"/>
      <w:ind w:left="-709" w:right="-7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D124" w14:textId="657900E7" w:rsidR="000B4F6E" w:rsidRDefault="000B4F6E" w:rsidP="0065152A">
    <w:pPr>
      <w:pStyle w:val="Zaglavlje"/>
      <w:ind w:left="-567"/>
    </w:pPr>
    <w:r>
      <w:rPr>
        <w:noProof/>
        <w:lang w:val="hr-HR" w:eastAsia="hr-HR"/>
      </w:rPr>
      <w:drawing>
        <wp:inline distT="0" distB="0" distL="0" distR="0" wp14:anchorId="6E24835E" wp14:editId="5DDFEA76">
          <wp:extent cx="6120000" cy="1331653"/>
          <wp:effectExtent l="0" t="0" r="1905" b="0"/>
          <wp:docPr id="872913867" name="Picture 1006864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onacelnik-headerCU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331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593" w14:textId="77777777" w:rsidR="008616FA" w:rsidRDefault="008616F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342B"/>
    <w:multiLevelType w:val="hybridMultilevel"/>
    <w:tmpl w:val="689ED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28C"/>
    <w:multiLevelType w:val="hybridMultilevel"/>
    <w:tmpl w:val="A392B224"/>
    <w:lvl w:ilvl="0" w:tplc="936049FC">
      <w:start w:val="1"/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80008DD"/>
    <w:multiLevelType w:val="hybridMultilevel"/>
    <w:tmpl w:val="10C24C40"/>
    <w:lvl w:ilvl="0" w:tplc="64B86CD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51915716">
    <w:abstractNumId w:val="0"/>
  </w:num>
  <w:num w:numId="2" w16cid:durableId="193691496">
    <w:abstractNumId w:val="2"/>
  </w:num>
  <w:num w:numId="3" w16cid:durableId="142399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FA"/>
    <w:rsid w:val="00073CAE"/>
    <w:rsid w:val="000B4F6E"/>
    <w:rsid w:val="000B6D97"/>
    <w:rsid w:val="000C1A05"/>
    <w:rsid w:val="00120DD8"/>
    <w:rsid w:val="00291680"/>
    <w:rsid w:val="002F45B6"/>
    <w:rsid w:val="00323555"/>
    <w:rsid w:val="0036034E"/>
    <w:rsid w:val="00380D74"/>
    <w:rsid w:val="003A462E"/>
    <w:rsid w:val="003B0369"/>
    <w:rsid w:val="0064108A"/>
    <w:rsid w:val="00645D0E"/>
    <w:rsid w:val="0065152A"/>
    <w:rsid w:val="00674DC3"/>
    <w:rsid w:val="006A2CD1"/>
    <w:rsid w:val="006D5FDC"/>
    <w:rsid w:val="00710A78"/>
    <w:rsid w:val="007A679E"/>
    <w:rsid w:val="007C68AD"/>
    <w:rsid w:val="008616FA"/>
    <w:rsid w:val="008A47A4"/>
    <w:rsid w:val="008B537B"/>
    <w:rsid w:val="009323A5"/>
    <w:rsid w:val="00980AE2"/>
    <w:rsid w:val="009B2C2B"/>
    <w:rsid w:val="00A01B1E"/>
    <w:rsid w:val="00A15FC8"/>
    <w:rsid w:val="00A31CC8"/>
    <w:rsid w:val="00AA56E3"/>
    <w:rsid w:val="00B07E3C"/>
    <w:rsid w:val="00B91F82"/>
    <w:rsid w:val="00BE289A"/>
    <w:rsid w:val="00CF14CA"/>
    <w:rsid w:val="00E6330C"/>
    <w:rsid w:val="00F46A64"/>
    <w:rsid w:val="00F71F47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5410EF3"/>
  <w14:defaultImageDpi w14:val="300"/>
  <w15:docId w15:val="{6FBB8385-A6BE-4B38-95EF-4FEB19D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0A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16FA"/>
  </w:style>
  <w:style w:type="paragraph" w:styleId="Podnoje">
    <w:name w:val="footer"/>
    <w:basedOn w:val="Normal"/>
    <w:link w:val="PodnojeChar"/>
    <w:uiPriority w:val="99"/>
    <w:unhideWhenUsed/>
    <w:rsid w:val="008616FA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16FA"/>
  </w:style>
  <w:style w:type="paragraph" w:styleId="Tekstbalonia">
    <w:name w:val="Balloon Text"/>
    <w:basedOn w:val="Normal"/>
    <w:link w:val="TekstbaloniaChar"/>
    <w:uiPriority w:val="99"/>
    <w:semiHidden/>
    <w:unhideWhenUsed/>
    <w:rsid w:val="008616FA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6FA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A462E"/>
    <w:pPr>
      <w:ind w:left="720"/>
      <w:contextualSpacing/>
    </w:pPr>
    <w:rPr>
      <w:rFonts w:ascii="Times New Roman" w:eastAsia="Times New Roman" w:hAnsi="Times New Roman" w:cs="Times New Roman"/>
      <w:lang w:val="hr-HR" w:eastAsia="hr-HR"/>
    </w:rPr>
  </w:style>
  <w:style w:type="paragraph" w:customStyle="1" w:styleId="box459765">
    <w:name w:val="box_459765"/>
    <w:basedOn w:val="Normal"/>
    <w:rsid w:val="003A462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10A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styleId="Hiperveza">
    <w:name w:val="Hyperlink"/>
    <w:basedOn w:val="Zadanifontodlomka"/>
    <w:uiPriority w:val="99"/>
    <w:unhideWhenUsed/>
    <w:rsid w:val="00710A78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710A78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sk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1BBC-9F39-45CE-922A-A76DCE5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Sonja Marohnić-Horvat</cp:lastModifiedBy>
  <cp:revision>3</cp:revision>
  <cp:lastPrinted>2025-11-04T08:13:00Z</cp:lastPrinted>
  <dcterms:created xsi:type="dcterms:W3CDTF">2025-11-04T08:13:00Z</dcterms:created>
  <dcterms:modified xsi:type="dcterms:W3CDTF">2025-11-04T11:52:00Z</dcterms:modified>
</cp:coreProperties>
</file>