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5C3A" w14:textId="77777777" w:rsidR="00BC13A1" w:rsidRPr="0036101A" w:rsidRDefault="00BC13A1" w:rsidP="00BC13A1">
      <w:pPr>
        <w:ind w:left="360"/>
        <w:rPr>
          <w:rFonts w:asciiTheme="majorHAnsi" w:eastAsiaTheme="minorHAnsi" w:hAnsiTheme="majorHAnsi" w:cstheme="majorHAnsi"/>
          <w:color w:val="0070C0"/>
          <w:lang w:val="hr-HR"/>
        </w:rPr>
      </w:pPr>
      <w:bookmarkStart w:id="0" w:name="_Hlk87008709"/>
    </w:p>
    <w:p w14:paraId="2023A159" w14:textId="3A552212" w:rsidR="00BC13A1" w:rsidRPr="004242E8" w:rsidRDefault="00BC13A1" w:rsidP="00BC13A1">
      <w:pPr>
        <w:ind w:left="360"/>
        <w:rPr>
          <w:rFonts w:asciiTheme="majorHAnsi" w:eastAsiaTheme="minorHAnsi" w:hAnsiTheme="majorHAnsi" w:cstheme="majorHAnsi"/>
          <w:lang w:val="hr-HR"/>
        </w:rPr>
      </w:pPr>
      <w:r w:rsidRPr="004242E8">
        <w:rPr>
          <w:rFonts w:asciiTheme="majorHAnsi" w:eastAsiaTheme="minorHAnsi" w:hAnsiTheme="majorHAnsi" w:cstheme="majorHAnsi"/>
          <w:lang w:val="hr-HR"/>
        </w:rPr>
        <w:t>KLASA : 400-0</w:t>
      </w:r>
      <w:r w:rsidR="004242E8" w:rsidRPr="004242E8">
        <w:rPr>
          <w:rFonts w:asciiTheme="majorHAnsi" w:eastAsiaTheme="minorHAnsi" w:hAnsiTheme="majorHAnsi" w:cstheme="majorHAnsi"/>
          <w:lang w:val="hr-HR"/>
        </w:rPr>
        <w:t>1</w:t>
      </w:r>
      <w:r w:rsidRPr="004242E8">
        <w:rPr>
          <w:rFonts w:asciiTheme="majorHAnsi" w:eastAsiaTheme="minorHAnsi" w:hAnsiTheme="majorHAnsi" w:cstheme="majorHAnsi"/>
          <w:lang w:val="hr-HR"/>
        </w:rPr>
        <w:t>/2</w:t>
      </w:r>
      <w:r w:rsidR="004242E8" w:rsidRPr="004242E8">
        <w:rPr>
          <w:rFonts w:asciiTheme="majorHAnsi" w:eastAsiaTheme="minorHAnsi" w:hAnsiTheme="majorHAnsi" w:cstheme="majorHAnsi"/>
          <w:lang w:val="hr-HR"/>
        </w:rPr>
        <w:t>5</w:t>
      </w:r>
      <w:r w:rsidRPr="004242E8">
        <w:rPr>
          <w:rFonts w:asciiTheme="majorHAnsi" w:eastAsiaTheme="minorHAnsi" w:hAnsiTheme="majorHAnsi" w:cstheme="majorHAnsi"/>
          <w:lang w:val="hr-HR"/>
        </w:rPr>
        <w:t>-01/3</w:t>
      </w:r>
    </w:p>
    <w:p w14:paraId="11F1A6CE" w14:textId="41D17C0D" w:rsidR="00BC13A1" w:rsidRPr="004242E8" w:rsidRDefault="00BC13A1" w:rsidP="00BC13A1">
      <w:pPr>
        <w:ind w:left="360"/>
        <w:rPr>
          <w:rFonts w:asciiTheme="majorHAnsi" w:eastAsiaTheme="minorHAnsi" w:hAnsiTheme="majorHAnsi" w:cstheme="majorHAnsi"/>
          <w:lang w:val="hr-HR"/>
        </w:rPr>
      </w:pPr>
      <w:r w:rsidRPr="004242E8">
        <w:rPr>
          <w:rFonts w:asciiTheme="majorHAnsi" w:eastAsiaTheme="minorHAnsi" w:hAnsiTheme="majorHAnsi" w:cstheme="majorHAnsi"/>
          <w:lang w:val="hr-HR"/>
        </w:rPr>
        <w:t>URBROJ: 2176-04-01-2</w:t>
      </w:r>
      <w:r w:rsidR="004242E8" w:rsidRPr="004242E8">
        <w:rPr>
          <w:rFonts w:asciiTheme="majorHAnsi" w:eastAsiaTheme="minorHAnsi" w:hAnsiTheme="majorHAnsi" w:cstheme="majorHAnsi"/>
          <w:lang w:val="hr-HR"/>
        </w:rPr>
        <w:t>5</w:t>
      </w:r>
      <w:r w:rsidRPr="004242E8">
        <w:rPr>
          <w:rFonts w:asciiTheme="majorHAnsi" w:eastAsiaTheme="minorHAnsi" w:hAnsiTheme="majorHAnsi" w:cstheme="majorHAnsi"/>
          <w:lang w:val="hr-HR"/>
        </w:rPr>
        <w:t>-1</w:t>
      </w:r>
    </w:p>
    <w:p w14:paraId="7E98EDA5" w14:textId="74674BBA" w:rsidR="00BC13A1" w:rsidRPr="0036101A" w:rsidRDefault="00BC13A1" w:rsidP="00BC13A1">
      <w:pPr>
        <w:spacing w:after="200"/>
        <w:ind w:left="360"/>
        <w:jc w:val="both"/>
        <w:rPr>
          <w:rFonts w:asciiTheme="majorHAnsi" w:eastAsiaTheme="minorHAnsi" w:hAnsiTheme="majorHAnsi" w:cstheme="majorHAnsi"/>
          <w:color w:val="000000" w:themeColor="text1"/>
          <w:lang w:val="hr-HR"/>
        </w:rPr>
      </w:pP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Novska, </w:t>
      </w:r>
      <w:r w:rsidR="0036101A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26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. </w:t>
      </w:r>
      <w:r w:rsidR="0036101A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studeni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202</w:t>
      </w:r>
      <w:r w:rsidR="0036101A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5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.</w:t>
      </w:r>
    </w:p>
    <w:p w14:paraId="360E9AE7" w14:textId="60A13985" w:rsidR="0032300C" w:rsidRPr="0036101A" w:rsidRDefault="0032300C" w:rsidP="003A7D94">
      <w:pPr>
        <w:spacing w:after="200"/>
        <w:ind w:left="360"/>
        <w:jc w:val="both"/>
        <w:rPr>
          <w:rFonts w:asciiTheme="majorHAnsi" w:eastAsiaTheme="minorHAnsi" w:hAnsiTheme="majorHAnsi" w:cstheme="majorHAnsi"/>
          <w:color w:val="000000" w:themeColor="text1"/>
          <w:lang w:val="hr-HR"/>
        </w:rPr>
      </w:pP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Temeljem</w:t>
      </w:r>
      <w:r w:rsidR="00EE309E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</w:t>
      </w:r>
      <w:r w:rsidR="003D5BD7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članka 33</w:t>
      </w:r>
      <w:r w:rsidR="000239C2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.</w:t>
      </w:r>
      <w:r w:rsidR="003D5BD7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Zakona o stambenom zbrinjavanju na potpomognutim područjima</w:t>
      </w:r>
      <w:r w:rsidR="00EE309E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, (Narodne novine </w:t>
      </w:r>
      <w:r w:rsidR="000239C2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106/18 i 98/19</w:t>
      </w:r>
      <w:r w:rsidR="001E5F0C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, 82/23</w:t>
      </w:r>
      <w:r w:rsidR="00EE309E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)</w:t>
      </w:r>
      <w:bookmarkEnd w:id="0"/>
      <w:r w:rsidR="00EE309E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i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članka 3</w:t>
      </w:r>
      <w:r w:rsidR="001E05B5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7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. Statuta Grada Novske </w:t>
      </w:r>
      <w:r w:rsidR="00957A96" w:rsidRPr="0036101A">
        <w:rPr>
          <w:rFonts w:asciiTheme="majorHAnsi" w:hAnsiTheme="majorHAnsi" w:cstheme="majorHAnsi"/>
          <w:color w:val="000000" w:themeColor="text1"/>
          <w:lang w:eastAsia="hr-HR"/>
        </w:rPr>
        <w:t>("</w:t>
      </w:r>
      <w:r w:rsidR="00957A96" w:rsidRPr="004242E8">
        <w:rPr>
          <w:rFonts w:asciiTheme="majorHAnsi" w:hAnsiTheme="majorHAnsi" w:cstheme="majorHAnsi"/>
          <w:color w:val="000000" w:themeColor="text1"/>
          <w:lang w:val="hr-HR" w:eastAsia="hr-HR"/>
        </w:rPr>
        <w:t>Službeni vjesnik"</w:t>
      </w:r>
      <w:r w:rsidR="001E05B5" w:rsidRPr="0036101A">
        <w:rPr>
          <w:rFonts w:asciiTheme="majorHAnsi" w:hAnsiTheme="majorHAnsi" w:cstheme="majorHAnsi"/>
          <w:color w:val="000000" w:themeColor="text1"/>
          <w:lang w:eastAsia="hr-HR"/>
        </w:rPr>
        <w:t xml:space="preserve"> Grada </w:t>
      </w:r>
      <w:proofErr w:type="spellStart"/>
      <w:r w:rsidR="001E05B5" w:rsidRPr="0036101A">
        <w:rPr>
          <w:rFonts w:asciiTheme="majorHAnsi" w:hAnsiTheme="majorHAnsi" w:cstheme="majorHAnsi"/>
          <w:color w:val="000000" w:themeColor="text1"/>
          <w:lang w:eastAsia="hr-HR"/>
        </w:rPr>
        <w:t>Novske</w:t>
      </w:r>
      <w:proofErr w:type="spellEnd"/>
      <w:r w:rsidR="00957A96" w:rsidRPr="0036101A">
        <w:rPr>
          <w:rFonts w:asciiTheme="majorHAnsi" w:hAnsiTheme="majorHAnsi" w:cstheme="majorHAnsi"/>
          <w:color w:val="000000" w:themeColor="text1"/>
          <w:lang w:eastAsia="hr-HR"/>
        </w:rPr>
        <w:t xml:space="preserve"> </w:t>
      </w:r>
      <w:proofErr w:type="spellStart"/>
      <w:r w:rsidR="00957A96" w:rsidRPr="0036101A">
        <w:rPr>
          <w:rFonts w:asciiTheme="majorHAnsi" w:hAnsiTheme="majorHAnsi" w:cstheme="majorHAnsi"/>
          <w:color w:val="000000" w:themeColor="text1"/>
          <w:lang w:eastAsia="hr-HR"/>
        </w:rPr>
        <w:t>bro</w:t>
      </w:r>
      <w:r w:rsidR="004242E8">
        <w:rPr>
          <w:rFonts w:asciiTheme="majorHAnsi" w:hAnsiTheme="majorHAnsi" w:cstheme="majorHAnsi"/>
          <w:color w:val="000000" w:themeColor="text1"/>
          <w:lang w:eastAsia="hr-HR"/>
        </w:rPr>
        <w:t>j</w:t>
      </w:r>
      <w:proofErr w:type="spellEnd"/>
      <w:r w:rsidR="00957A96" w:rsidRPr="0036101A">
        <w:rPr>
          <w:rFonts w:asciiTheme="majorHAnsi" w:hAnsiTheme="majorHAnsi" w:cstheme="majorHAnsi"/>
          <w:color w:val="000000" w:themeColor="text1"/>
          <w:lang w:eastAsia="hr-HR"/>
        </w:rPr>
        <w:t xml:space="preserve"> 8/2</w:t>
      </w:r>
      <w:r w:rsidR="001E05B5" w:rsidRPr="0036101A">
        <w:rPr>
          <w:rFonts w:asciiTheme="majorHAnsi" w:hAnsiTheme="majorHAnsi" w:cstheme="majorHAnsi"/>
          <w:color w:val="000000" w:themeColor="text1"/>
          <w:lang w:eastAsia="hr-HR"/>
        </w:rPr>
        <w:t>1</w:t>
      </w:r>
      <w:r w:rsidR="001E5F0C" w:rsidRPr="0036101A">
        <w:rPr>
          <w:rFonts w:asciiTheme="majorHAnsi" w:hAnsiTheme="majorHAnsi" w:cstheme="majorHAnsi"/>
          <w:color w:val="000000" w:themeColor="text1"/>
          <w:lang w:eastAsia="hr-HR"/>
        </w:rPr>
        <w:t>, 13/23</w:t>
      </w:r>
      <w:r w:rsidR="00957A96" w:rsidRPr="0036101A">
        <w:rPr>
          <w:rFonts w:asciiTheme="majorHAnsi" w:hAnsiTheme="majorHAnsi" w:cstheme="majorHAnsi"/>
          <w:color w:val="000000" w:themeColor="text1"/>
          <w:lang w:eastAsia="hr-HR"/>
        </w:rPr>
        <w:t>)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, Gradsko vijeće Grada Novske na </w:t>
      </w:r>
      <w:r w:rsidR="003C2116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3</w:t>
      </w:r>
      <w:r w:rsidR="003D48D9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.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sjednici održanoj </w:t>
      </w:r>
      <w:r w:rsidR="0036101A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26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. </w:t>
      </w:r>
      <w:r w:rsidR="0036101A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studenog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20</w:t>
      </w:r>
      <w:r w:rsidR="00957A96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2</w:t>
      </w:r>
      <w:r w:rsidR="0036101A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5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>.</w:t>
      </w:r>
      <w:r w:rsidR="00957A96"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</w:t>
      </w:r>
      <w:r w:rsidRPr="0036101A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godine donijelo je </w:t>
      </w:r>
    </w:p>
    <w:p w14:paraId="27579C59" w14:textId="5B9DB7F4" w:rsidR="0032300C" w:rsidRPr="0036101A" w:rsidRDefault="0032300C" w:rsidP="003A7D94">
      <w:pPr>
        <w:ind w:left="360"/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36101A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P</w:t>
      </w:r>
      <w:r w:rsidR="001313AD" w:rsidRPr="0036101A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LAN</w:t>
      </w:r>
    </w:p>
    <w:p w14:paraId="6715C35E" w14:textId="77777777" w:rsidR="0032300C" w:rsidRPr="0036101A" w:rsidRDefault="0032300C" w:rsidP="003A7D94">
      <w:pPr>
        <w:ind w:left="360"/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36101A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utroška sredstava od prodaje kuća i stanova u državnom vlasništvu</w:t>
      </w:r>
    </w:p>
    <w:p w14:paraId="48F4E076" w14:textId="02B843A8" w:rsidR="0032300C" w:rsidRPr="0036101A" w:rsidRDefault="0032300C" w:rsidP="003A7D94">
      <w:pPr>
        <w:ind w:left="360"/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36101A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na području Grada Novske u 202</w:t>
      </w:r>
      <w:r w:rsidR="0036101A" w:rsidRPr="0036101A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6</w:t>
      </w:r>
      <w:r w:rsidRPr="0036101A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. godini</w:t>
      </w:r>
    </w:p>
    <w:p w14:paraId="32353558" w14:textId="77777777" w:rsidR="0032300C" w:rsidRPr="0036101A" w:rsidRDefault="0032300C" w:rsidP="003A7D94">
      <w:pPr>
        <w:ind w:left="360"/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</w:p>
    <w:p w14:paraId="3E4C4B8F" w14:textId="77777777" w:rsidR="0032300C" w:rsidRPr="0036101A" w:rsidRDefault="0032300C" w:rsidP="003A7D94">
      <w:pPr>
        <w:ind w:left="360"/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36101A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Članak 1.</w:t>
      </w:r>
    </w:p>
    <w:p w14:paraId="3D273F4F" w14:textId="7AEFA2AF" w:rsidR="0032300C" w:rsidRPr="00855E95" w:rsidRDefault="0032300C" w:rsidP="003A7D94">
      <w:pPr>
        <w:ind w:left="360"/>
        <w:jc w:val="both"/>
        <w:rPr>
          <w:rFonts w:asciiTheme="majorHAnsi" w:eastAsiaTheme="minorHAnsi" w:hAnsiTheme="majorHAnsi" w:cstheme="majorHAnsi"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Ovim P</w:t>
      </w:r>
      <w:r w:rsidR="001313AD"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lanom</w:t>
      </w: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definira se utrošak sredstava od prodaje kuća i stanova u državnom vlasništvu na području Grada Novske u 202</w:t>
      </w:r>
      <w:r w:rsidR="00855E95"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6</w:t>
      </w: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. godini koji će se iskoristiti za financiranje Programa kako slijedi:</w:t>
      </w:r>
    </w:p>
    <w:p w14:paraId="25B48BAC" w14:textId="77777777" w:rsidR="0032300C" w:rsidRPr="0036101A" w:rsidRDefault="0032300C" w:rsidP="003A7D94">
      <w:pPr>
        <w:ind w:left="360"/>
        <w:rPr>
          <w:rFonts w:asciiTheme="majorHAnsi" w:eastAsiaTheme="minorHAnsi" w:hAnsiTheme="majorHAnsi" w:cstheme="majorHAnsi"/>
          <w:color w:val="0070C0"/>
          <w:lang w:val="hr-HR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731"/>
        <w:gridCol w:w="5442"/>
        <w:gridCol w:w="3089"/>
      </w:tblGrid>
      <w:tr w:rsidR="004242E8" w:rsidRPr="004242E8" w14:paraId="7E64F29D" w14:textId="77777777" w:rsidTr="00FF33A9">
        <w:tc>
          <w:tcPr>
            <w:tcW w:w="741" w:type="dxa"/>
            <w:shd w:val="clear" w:color="auto" w:fill="D9D9D9" w:themeFill="background1" w:themeFillShade="D9"/>
          </w:tcPr>
          <w:p w14:paraId="1A5F1463" w14:textId="77777777" w:rsidR="0032300C" w:rsidRPr="004242E8" w:rsidRDefault="0032300C" w:rsidP="003A7D9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242E8">
              <w:rPr>
                <w:rFonts w:asciiTheme="majorHAnsi" w:hAnsiTheme="majorHAnsi" w:cstheme="majorHAnsi"/>
                <w:b/>
                <w:sz w:val="24"/>
                <w:szCs w:val="24"/>
              </w:rPr>
              <w:t>Rb</w:t>
            </w:r>
          </w:p>
        </w:tc>
        <w:tc>
          <w:tcPr>
            <w:tcW w:w="5587" w:type="dxa"/>
            <w:shd w:val="clear" w:color="auto" w:fill="D9D9D9" w:themeFill="background1" w:themeFillShade="D9"/>
          </w:tcPr>
          <w:p w14:paraId="4C9DD7B5" w14:textId="77777777" w:rsidR="0032300C" w:rsidRPr="004242E8" w:rsidRDefault="0032300C" w:rsidP="003A7D9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242E8">
              <w:rPr>
                <w:rFonts w:asciiTheme="majorHAnsi" w:hAnsiTheme="majorHAnsi" w:cstheme="majorHAnsi"/>
                <w:b/>
                <w:sz w:val="24"/>
                <w:szCs w:val="24"/>
              </w:rPr>
              <w:t>PROGRAM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5E690801" w14:textId="1383A6F7" w:rsidR="0032300C" w:rsidRPr="004242E8" w:rsidRDefault="0032300C" w:rsidP="003A7D9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242E8">
              <w:rPr>
                <w:rFonts w:asciiTheme="majorHAnsi" w:hAnsiTheme="majorHAnsi" w:cstheme="majorHAnsi"/>
                <w:b/>
                <w:sz w:val="24"/>
                <w:szCs w:val="24"/>
              </w:rPr>
              <w:t>IZNOS</w:t>
            </w:r>
            <w:r w:rsidR="003D48D9" w:rsidRPr="004242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(EUR)</w:t>
            </w:r>
          </w:p>
        </w:tc>
      </w:tr>
      <w:tr w:rsidR="004242E8" w:rsidRPr="004242E8" w14:paraId="2C2EE35B" w14:textId="77777777" w:rsidTr="00FF33A9">
        <w:tc>
          <w:tcPr>
            <w:tcW w:w="741" w:type="dxa"/>
            <w:tcBorders>
              <w:bottom w:val="single" w:sz="4" w:space="0" w:color="auto"/>
            </w:tcBorders>
          </w:tcPr>
          <w:p w14:paraId="01BC7297" w14:textId="77777777" w:rsidR="0032300C" w:rsidRPr="004242E8" w:rsidRDefault="0032300C" w:rsidP="003A7D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84C094" w14:textId="77777777" w:rsidR="0032300C" w:rsidRPr="004242E8" w:rsidRDefault="0032300C" w:rsidP="003A7D9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242E8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14:paraId="723E3E55" w14:textId="33DAAB63" w:rsidR="0032300C" w:rsidRPr="004242E8" w:rsidRDefault="00B238FA" w:rsidP="003A7D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7143A">
              <w:rPr>
                <w:rFonts w:cstheme="minorHAnsi"/>
              </w:rPr>
              <w:t>Program 1024 Održavanje objekata i uređaja komunalne infrastrukture, Aktivnost A100002 Održavanje nerazvrstanih cesta</w:t>
            </w:r>
          </w:p>
        </w:tc>
        <w:tc>
          <w:tcPr>
            <w:tcW w:w="3165" w:type="dxa"/>
            <w:tcBorders>
              <w:bottom w:val="single" w:sz="4" w:space="0" w:color="auto"/>
            </w:tcBorders>
          </w:tcPr>
          <w:p w14:paraId="58EA39A4" w14:textId="77777777" w:rsidR="0032300C" w:rsidRPr="004242E8" w:rsidRDefault="0032300C" w:rsidP="003A7D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CB21EAC" w14:textId="77777777" w:rsidR="0032300C" w:rsidRPr="004242E8" w:rsidRDefault="0032300C" w:rsidP="003A7D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4F7B02" w14:textId="23564644" w:rsidR="0032300C" w:rsidRPr="004242E8" w:rsidRDefault="003C2116" w:rsidP="003A7D94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4242E8">
              <w:rPr>
                <w:rFonts w:asciiTheme="majorHAnsi" w:hAnsiTheme="majorHAnsi" w:cstheme="majorHAnsi"/>
                <w:sz w:val="24"/>
                <w:szCs w:val="24"/>
              </w:rPr>
              <w:t>2.000</w:t>
            </w:r>
            <w:r w:rsidR="00477E67" w:rsidRPr="004242E8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3D48D9" w:rsidRPr="004242E8">
              <w:rPr>
                <w:rFonts w:asciiTheme="majorHAnsi" w:hAnsiTheme="majorHAnsi" w:cstheme="majorHAnsi"/>
                <w:sz w:val="24"/>
                <w:szCs w:val="24"/>
              </w:rPr>
              <w:t>00</w:t>
            </w:r>
          </w:p>
        </w:tc>
      </w:tr>
      <w:tr w:rsidR="004242E8" w:rsidRPr="004242E8" w14:paraId="2C9C3F1B" w14:textId="77777777" w:rsidTr="00FF33A9">
        <w:tc>
          <w:tcPr>
            <w:tcW w:w="6328" w:type="dxa"/>
            <w:gridSpan w:val="2"/>
            <w:shd w:val="clear" w:color="auto" w:fill="D9D9D9" w:themeFill="background1" w:themeFillShade="D9"/>
          </w:tcPr>
          <w:p w14:paraId="1DD4D58E" w14:textId="77777777" w:rsidR="0032300C" w:rsidRPr="004242E8" w:rsidRDefault="0032300C" w:rsidP="003A7D9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911649B" w14:textId="77777777" w:rsidR="0032300C" w:rsidRPr="004242E8" w:rsidRDefault="0032300C" w:rsidP="003A7D9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242E8">
              <w:rPr>
                <w:rFonts w:asciiTheme="majorHAnsi" w:hAnsiTheme="majorHAnsi" w:cstheme="majorHAnsi"/>
                <w:b/>
                <w:sz w:val="24"/>
                <w:szCs w:val="24"/>
              </w:rPr>
              <w:t>UKUPNO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14:paraId="7B4D54BD" w14:textId="77777777" w:rsidR="0032300C" w:rsidRPr="004242E8" w:rsidRDefault="0032300C" w:rsidP="003A7D9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0B8CCF8" w14:textId="3689B0DD" w:rsidR="0032300C" w:rsidRPr="004242E8" w:rsidRDefault="003C2116" w:rsidP="003A7D94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242E8">
              <w:rPr>
                <w:rFonts w:asciiTheme="majorHAnsi" w:hAnsiTheme="majorHAnsi" w:cstheme="majorHAnsi"/>
                <w:b/>
                <w:sz w:val="24"/>
                <w:szCs w:val="24"/>
              </w:rPr>
              <w:t>2.000</w:t>
            </w:r>
            <w:r w:rsidR="003D48D9" w:rsidRPr="004242E8">
              <w:rPr>
                <w:rFonts w:asciiTheme="majorHAnsi" w:hAnsiTheme="majorHAnsi" w:cstheme="majorHAnsi"/>
                <w:b/>
                <w:sz w:val="24"/>
                <w:szCs w:val="24"/>
              </w:rPr>
              <w:t>,00</w:t>
            </w:r>
          </w:p>
        </w:tc>
      </w:tr>
    </w:tbl>
    <w:p w14:paraId="102BE7A0" w14:textId="77777777" w:rsidR="0032300C" w:rsidRPr="0036101A" w:rsidRDefault="0032300C" w:rsidP="003A7D94">
      <w:pPr>
        <w:ind w:left="360"/>
        <w:jc w:val="both"/>
        <w:rPr>
          <w:rFonts w:asciiTheme="majorHAnsi" w:eastAsiaTheme="minorHAnsi" w:hAnsiTheme="majorHAnsi" w:cstheme="majorHAnsi"/>
          <w:color w:val="0070C0"/>
          <w:lang w:val="hr-HR"/>
        </w:rPr>
      </w:pPr>
    </w:p>
    <w:p w14:paraId="7F618EC8" w14:textId="77777777" w:rsidR="0032300C" w:rsidRPr="00855E95" w:rsidRDefault="0032300C" w:rsidP="003A7D94">
      <w:pPr>
        <w:ind w:left="360"/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Članak 2.</w:t>
      </w:r>
    </w:p>
    <w:p w14:paraId="55FCE02F" w14:textId="14E2BA69" w:rsidR="0032300C" w:rsidRPr="00855E95" w:rsidRDefault="0032300C" w:rsidP="003A7D94">
      <w:pPr>
        <w:ind w:left="360"/>
        <w:jc w:val="both"/>
        <w:rPr>
          <w:rFonts w:asciiTheme="majorHAnsi" w:eastAsiaTheme="minorHAnsi" w:hAnsiTheme="majorHAnsi" w:cstheme="majorHAnsi"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Za realizaciju ovog P</w:t>
      </w:r>
      <w:r w:rsidR="001313AD"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lana</w:t>
      </w: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zadužuje se Upravni odjel za komunalni sustav, prostorno planiranje i zaštitu okoliša.</w:t>
      </w:r>
    </w:p>
    <w:p w14:paraId="61315BEA" w14:textId="77777777" w:rsidR="0032300C" w:rsidRPr="00855E95" w:rsidRDefault="0032300C" w:rsidP="003A7D94">
      <w:pPr>
        <w:ind w:left="360"/>
        <w:rPr>
          <w:rFonts w:asciiTheme="majorHAnsi" w:eastAsiaTheme="minorHAnsi" w:hAnsiTheme="majorHAnsi" w:cstheme="majorHAnsi"/>
          <w:color w:val="000000" w:themeColor="text1"/>
          <w:lang w:val="hr-HR"/>
        </w:rPr>
      </w:pPr>
    </w:p>
    <w:p w14:paraId="3DA00EFA" w14:textId="77777777" w:rsidR="0032300C" w:rsidRPr="00855E95" w:rsidRDefault="0032300C" w:rsidP="003A7D94">
      <w:pPr>
        <w:ind w:left="360"/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Članak 3.</w:t>
      </w:r>
    </w:p>
    <w:p w14:paraId="735C926B" w14:textId="1A5B6290" w:rsidR="0032300C" w:rsidRPr="00855E95" w:rsidRDefault="0032300C" w:rsidP="003A7D94">
      <w:pPr>
        <w:ind w:left="360"/>
        <w:jc w:val="both"/>
        <w:rPr>
          <w:rFonts w:asciiTheme="majorHAnsi" w:eastAsiaTheme="minorHAnsi" w:hAnsiTheme="majorHAnsi" w:cstheme="majorHAnsi"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Ovaj P</w:t>
      </w:r>
      <w:r w:rsidR="001313AD"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lan</w:t>
      </w: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 xml:space="preserve"> objaviti će se  u „Službenom vjesniku“, a  primjenjuje se  od 01. siječnja 202</w:t>
      </w:r>
      <w:r w:rsidR="00855E95"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6</w:t>
      </w:r>
      <w:r w:rsidRPr="00855E95">
        <w:rPr>
          <w:rFonts w:asciiTheme="majorHAnsi" w:eastAsiaTheme="minorHAnsi" w:hAnsiTheme="majorHAnsi" w:cstheme="majorHAnsi"/>
          <w:color w:val="000000" w:themeColor="text1"/>
          <w:lang w:val="hr-HR"/>
        </w:rPr>
        <w:t>. godine.</w:t>
      </w:r>
    </w:p>
    <w:p w14:paraId="7C18A13A" w14:textId="77777777" w:rsidR="003D48D9" w:rsidRPr="00855E95" w:rsidRDefault="003D48D9" w:rsidP="003A7D94">
      <w:pPr>
        <w:ind w:left="360"/>
        <w:jc w:val="both"/>
        <w:rPr>
          <w:rFonts w:asciiTheme="majorHAnsi" w:eastAsiaTheme="minorHAnsi" w:hAnsiTheme="majorHAnsi" w:cstheme="majorHAnsi"/>
          <w:color w:val="000000" w:themeColor="text1"/>
          <w:lang w:val="hr-HR"/>
        </w:rPr>
      </w:pPr>
    </w:p>
    <w:p w14:paraId="3C6FB1AB" w14:textId="77777777" w:rsidR="003D48D9" w:rsidRPr="00855E95" w:rsidRDefault="003D48D9" w:rsidP="003D48D9">
      <w:pPr>
        <w:jc w:val="center"/>
        <w:rPr>
          <w:rFonts w:cstheme="minorHAnsi"/>
          <w:color w:val="000000" w:themeColor="text1"/>
          <w:lang w:val="hr-HR" w:eastAsia="hr-HR"/>
        </w:rPr>
      </w:pPr>
      <w:r w:rsidRPr="00855E95">
        <w:rPr>
          <w:rFonts w:cstheme="minorHAnsi"/>
          <w:color w:val="000000" w:themeColor="text1"/>
          <w:lang w:val="hr-HR" w:eastAsia="hr-HR"/>
        </w:rPr>
        <w:t>SISAČKO-MOSLAVAČKA ŽUPANIJA</w:t>
      </w:r>
    </w:p>
    <w:p w14:paraId="23FFD486" w14:textId="77777777" w:rsidR="003D48D9" w:rsidRPr="00855E95" w:rsidRDefault="003D48D9" w:rsidP="003D48D9">
      <w:pPr>
        <w:jc w:val="center"/>
        <w:rPr>
          <w:rFonts w:cstheme="minorHAnsi"/>
          <w:color w:val="000000" w:themeColor="text1"/>
          <w:lang w:val="hr-HR" w:eastAsia="hr-HR"/>
        </w:rPr>
      </w:pPr>
      <w:r w:rsidRPr="00855E95">
        <w:rPr>
          <w:rFonts w:cstheme="minorHAnsi"/>
          <w:color w:val="000000" w:themeColor="text1"/>
          <w:lang w:val="hr-HR" w:eastAsia="hr-HR"/>
        </w:rPr>
        <w:t>GRAD NOVSKA</w:t>
      </w:r>
    </w:p>
    <w:p w14:paraId="2888E5A2" w14:textId="77777777" w:rsidR="003D48D9" w:rsidRPr="00855E95" w:rsidRDefault="003D48D9" w:rsidP="003D48D9">
      <w:pPr>
        <w:jc w:val="center"/>
        <w:rPr>
          <w:rFonts w:cstheme="minorHAnsi"/>
          <w:color w:val="000000" w:themeColor="text1"/>
          <w:lang w:val="hr-HR" w:eastAsia="hr-HR"/>
        </w:rPr>
      </w:pPr>
      <w:r w:rsidRPr="00855E95">
        <w:rPr>
          <w:rFonts w:cstheme="minorHAnsi"/>
          <w:color w:val="000000" w:themeColor="text1"/>
          <w:lang w:val="hr-HR" w:eastAsia="hr-HR"/>
        </w:rPr>
        <w:t>GRADSKO VIJEĆE</w:t>
      </w:r>
    </w:p>
    <w:p w14:paraId="4B395FB1" w14:textId="77777777" w:rsidR="00BC13A1" w:rsidRPr="00855E95" w:rsidRDefault="00BC13A1" w:rsidP="003D48D9">
      <w:pPr>
        <w:jc w:val="center"/>
        <w:rPr>
          <w:rFonts w:cstheme="minorHAnsi"/>
          <w:color w:val="000000" w:themeColor="text1"/>
          <w:lang w:val="hr-HR" w:eastAsia="hr-HR"/>
        </w:rPr>
      </w:pPr>
    </w:p>
    <w:p w14:paraId="23D1CB93" w14:textId="77777777" w:rsidR="0032300C" w:rsidRPr="00855E95" w:rsidRDefault="0032300C" w:rsidP="003A7D94">
      <w:pPr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  <w:t>Predsjednik Gradskog vijeća</w:t>
      </w:r>
    </w:p>
    <w:p w14:paraId="190A7B5E" w14:textId="1AC955B1" w:rsidR="0032300C" w:rsidRPr="00855E95" w:rsidRDefault="0032300C" w:rsidP="003A7D94">
      <w:pPr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</w:p>
    <w:p w14:paraId="422B73E7" w14:textId="47B89268" w:rsidR="0032300C" w:rsidRPr="00855E95" w:rsidRDefault="0032300C" w:rsidP="003A7D94">
      <w:pPr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 xml:space="preserve"> </w:t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="003A7D94"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="003A7D94"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="003A7D94"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="003A7D94"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="003A7D94"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Ivica Vulić</w:t>
      </w:r>
    </w:p>
    <w:p w14:paraId="335BD9F4" w14:textId="77777777" w:rsidR="0032300C" w:rsidRPr="00855E95" w:rsidRDefault="0032300C" w:rsidP="003A7D94">
      <w:pPr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</w:p>
    <w:p w14:paraId="7DC50B00" w14:textId="77777777" w:rsidR="00655A84" w:rsidRPr="0036101A" w:rsidRDefault="00655A84" w:rsidP="003A7D94">
      <w:pPr>
        <w:rPr>
          <w:rFonts w:asciiTheme="majorHAnsi" w:eastAsiaTheme="minorHAnsi" w:hAnsiTheme="majorHAnsi" w:cstheme="majorHAnsi"/>
          <w:b/>
          <w:color w:val="0070C0"/>
          <w:lang w:val="hr-HR"/>
        </w:rPr>
      </w:pPr>
    </w:p>
    <w:p w14:paraId="3EADCE2D" w14:textId="6786A2F0" w:rsidR="0032300C" w:rsidRPr="00855E95" w:rsidRDefault="0032300C" w:rsidP="003A7D94">
      <w:pPr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lastRenderedPageBreak/>
        <w:t xml:space="preserve">Obrazloženje </w:t>
      </w:r>
    </w:p>
    <w:p w14:paraId="2CCB7A67" w14:textId="544B73AA" w:rsidR="0032300C" w:rsidRPr="00855E95" w:rsidRDefault="0032300C" w:rsidP="003A7D94">
      <w:pPr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P</w:t>
      </w:r>
      <w:r w:rsidR="00655A84"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lana</w:t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 xml:space="preserve"> utroška sredstava od prodaje kuća i stanova u državnom vlasništvu na području Grada Novske za 202</w:t>
      </w:r>
      <w:r w:rsidR="00855E95"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6</w:t>
      </w:r>
      <w:r w:rsidRPr="00855E95">
        <w:rPr>
          <w:rFonts w:asciiTheme="majorHAnsi" w:eastAsiaTheme="minorHAnsi" w:hAnsiTheme="majorHAnsi" w:cstheme="majorHAnsi"/>
          <w:b/>
          <w:color w:val="000000" w:themeColor="text1"/>
          <w:lang w:val="hr-HR"/>
        </w:rPr>
        <w:t>.godinu</w:t>
      </w:r>
    </w:p>
    <w:p w14:paraId="15238408" w14:textId="77777777" w:rsidR="0032300C" w:rsidRPr="00855E95" w:rsidRDefault="0032300C" w:rsidP="003A7D94">
      <w:pPr>
        <w:jc w:val="center"/>
        <w:rPr>
          <w:rFonts w:asciiTheme="majorHAnsi" w:eastAsiaTheme="minorHAnsi" w:hAnsiTheme="majorHAnsi" w:cstheme="majorHAnsi"/>
          <w:b/>
          <w:color w:val="000000" w:themeColor="text1"/>
          <w:lang w:val="hr-HR"/>
        </w:rPr>
      </w:pPr>
    </w:p>
    <w:p w14:paraId="33C560F3" w14:textId="77777777" w:rsidR="003D48D9" w:rsidRPr="00855E95" w:rsidRDefault="003D48D9" w:rsidP="003D48D9">
      <w:pPr>
        <w:ind w:firstLine="708"/>
        <w:jc w:val="both"/>
        <w:rPr>
          <w:rFonts w:asciiTheme="majorHAnsi" w:eastAsia="Calibri" w:hAnsiTheme="majorHAnsi" w:cstheme="majorHAnsi"/>
          <w:color w:val="000000" w:themeColor="text1"/>
          <w:lang w:val="hr-HR"/>
        </w:rPr>
      </w:pPr>
      <w:r w:rsidRPr="00855E95">
        <w:rPr>
          <w:rFonts w:asciiTheme="majorHAnsi" w:eastAsia="Calibri" w:hAnsiTheme="majorHAnsi" w:cstheme="majorHAnsi"/>
          <w:color w:val="000000" w:themeColor="text1"/>
          <w:lang w:val="hr-HR"/>
        </w:rPr>
        <w:t>Temeljem članka 33., stavaka (1) i (3) Zakona o stambenom zbrinjavanju na potpomognutim područjima, (Narodne novine 106/18, 98/19 i 82/23), sredstva od prodaje kuća i stanova u državnom vlasništvu prihod su proračuna jedinice lokalne samouprave.  Ova sredstva se koriste namjenski za izgradnju i obnovu komunalne infrastrukture, stambeno zbrinjavanje, izgradnju socijalnih stanova te podizanje standarda stambenog fonda.</w:t>
      </w:r>
    </w:p>
    <w:p w14:paraId="78C7DA9C" w14:textId="77777777" w:rsidR="003D48D9" w:rsidRPr="0036101A" w:rsidRDefault="003D48D9" w:rsidP="003A7D94">
      <w:pPr>
        <w:ind w:firstLine="708"/>
        <w:jc w:val="both"/>
        <w:rPr>
          <w:rFonts w:asciiTheme="majorHAnsi" w:eastAsia="Calibri" w:hAnsiTheme="majorHAnsi" w:cstheme="majorHAnsi"/>
          <w:color w:val="0070C0"/>
          <w:lang w:val="hr-HR"/>
        </w:rPr>
      </w:pPr>
    </w:p>
    <w:p w14:paraId="77FEE2D2" w14:textId="77777777" w:rsidR="00412F65" w:rsidRDefault="00C8305E" w:rsidP="003A7D94">
      <w:pPr>
        <w:ind w:firstLine="708"/>
        <w:jc w:val="both"/>
        <w:rPr>
          <w:rFonts w:eastAsiaTheme="minorHAnsi" w:cstheme="minorHAnsi"/>
          <w:lang w:val="hr-HR"/>
        </w:rPr>
      </w:pPr>
      <w:r w:rsidRPr="004242E8">
        <w:rPr>
          <w:rFonts w:asciiTheme="majorHAnsi" w:eastAsia="Calibri" w:hAnsiTheme="majorHAnsi" w:cstheme="majorHAnsi"/>
          <w:lang w:val="hr-HR"/>
        </w:rPr>
        <w:t>Po osnovi prihoda od prodaje kuća i stanova u državnom vlasništvu na području Grada Novske,</w:t>
      </w:r>
      <w:r w:rsidR="0032300C" w:rsidRPr="004242E8">
        <w:rPr>
          <w:rFonts w:asciiTheme="majorHAnsi" w:eastAsia="Calibri" w:hAnsiTheme="majorHAnsi" w:cstheme="majorHAnsi"/>
          <w:lang w:val="hr-HR"/>
        </w:rPr>
        <w:t xml:space="preserve"> u 202</w:t>
      </w:r>
      <w:r w:rsidR="004242E8" w:rsidRPr="004242E8">
        <w:rPr>
          <w:rFonts w:asciiTheme="majorHAnsi" w:eastAsia="Calibri" w:hAnsiTheme="majorHAnsi" w:cstheme="majorHAnsi"/>
          <w:lang w:val="hr-HR"/>
        </w:rPr>
        <w:t>6</w:t>
      </w:r>
      <w:r w:rsidR="0032300C" w:rsidRPr="004242E8">
        <w:rPr>
          <w:rFonts w:asciiTheme="majorHAnsi" w:eastAsia="Calibri" w:hAnsiTheme="majorHAnsi" w:cstheme="majorHAnsi"/>
          <w:lang w:val="hr-HR"/>
        </w:rPr>
        <w:t>. godini planira se</w:t>
      </w:r>
      <w:r w:rsidR="00A40EEA" w:rsidRPr="004242E8">
        <w:rPr>
          <w:rFonts w:asciiTheme="majorHAnsi" w:eastAsia="Calibri" w:hAnsiTheme="majorHAnsi" w:cstheme="majorHAnsi"/>
          <w:lang w:val="hr-HR"/>
        </w:rPr>
        <w:t xml:space="preserve"> uprihoditi </w:t>
      </w:r>
      <w:r w:rsidR="0032300C" w:rsidRPr="004242E8">
        <w:rPr>
          <w:rFonts w:asciiTheme="majorHAnsi" w:eastAsia="Calibri" w:hAnsiTheme="majorHAnsi" w:cstheme="majorHAnsi"/>
          <w:lang w:val="hr-HR"/>
        </w:rPr>
        <w:t xml:space="preserve">sredstva u iznosu </w:t>
      </w:r>
      <w:r w:rsidRPr="004242E8">
        <w:rPr>
          <w:rFonts w:asciiTheme="majorHAnsi" w:eastAsia="Calibri" w:hAnsiTheme="majorHAnsi" w:cstheme="majorHAnsi"/>
          <w:lang w:val="hr-HR"/>
        </w:rPr>
        <w:t xml:space="preserve">od </w:t>
      </w:r>
      <w:r w:rsidR="003C2116" w:rsidRPr="004242E8">
        <w:rPr>
          <w:rFonts w:asciiTheme="majorHAnsi" w:eastAsia="Calibri" w:hAnsiTheme="majorHAnsi" w:cstheme="majorHAnsi"/>
          <w:lang w:val="hr-HR"/>
        </w:rPr>
        <w:t>2.000</w:t>
      </w:r>
      <w:r w:rsidR="00477E67" w:rsidRPr="004242E8">
        <w:rPr>
          <w:rFonts w:asciiTheme="majorHAnsi" w:eastAsia="Calibri" w:hAnsiTheme="majorHAnsi" w:cstheme="majorHAnsi"/>
          <w:lang w:val="hr-HR"/>
        </w:rPr>
        <w:t>,</w:t>
      </w:r>
      <w:r w:rsidR="003D48D9" w:rsidRPr="004242E8">
        <w:rPr>
          <w:rFonts w:asciiTheme="majorHAnsi" w:eastAsia="Calibri" w:hAnsiTheme="majorHAnsi" w:cstheme="majorHAnsi"/>
          <w:lang w:val="hr-HR"/>
        </w:rPr>
        <w:t>00</w:t>
      </w:r>
      <w:r w:rsidR="00477E67" w:rsidRPr="004242E8">
        <w:rPr>
          <w:rFonts w:asciiTheme="majorHAnsi" w:eastAsia="Calibri" w:hAnsiTheme="majorHAnsi" w:cstheme="majorHAnsi"/>
          <w:lang w:val="hr-HR"/>
        </w:rPr>
        <w:t xml:space="preserve"> EUR</w:t>
      </w:r>
      <w:r w:rsidR="00A40EEA" w:rsidRPr="004242E8">
        <w:rPr>
          <w:rFonts w:asciiTheme="majorHAnsi" w:eastAsia="Calibri" w:hAnsiTheme="majorHAnsi" w:cstheme="majorHAnsi"/>
          <w:lang w:val="hr-HR"/>
        </w:rPr>
        <w:t>. Planirana sredstva</w:t>
      </w:r>
      <w:r w:rsidR="0032300C" w:rsidRPr="004242E8">
        <w:rPr>
          <w:rFonts w:asciiTheme="majorHAnsi" w:eastAsia="Calibri" w:hAnsiTheme="majorHAnsi" w:cstheme="majorHAnsi"/>
          <w:lang w:val="hr-HR"/>
        </w:rPr>
        <w:t xml:space="preserve"> će se</w:t>
      </w:r>
      <w:r w:rsidR="00B238FA">
        <w:rPr>
          <w:rFonts w:asciiTheme="majorHAnsi" w:eastAsia="Calibri" w:hAnsiTheme="majorHAnsi" w:cstheme="majorHAnsi"/>
          <w:lang w:val="hr-HR"/>
        </w:rPr>
        <w:t xml:space="preserve"> trošiti kroz</w:t>
      </w:r>
      <w:r w:rsidR="0032300C" w:rsidRPr="004242E8">
        <w:rPr>
          <w:rFonts w:asciiTheme="majorHAnsi" w:eastAsia="Calibri" w:hAnsiTheme="majorHAnsi" w:cstheme="majorHAnsi"/>
          <w:lang w:val="hr-HR"/>
        </w:rPr>
        <w:t xml:space="preserve"> </w:t>
      </w:r>
      <w:r w:rsidR="00B238FA">
        <w:rPr>
          <w:rFonts w:asciiTheme="majorHAnsi" w:eastAsia="Calibri" w:hAnsiTheme="majorHAnsi" w:cstheme="majorHAnsi"/>
          <w:lang w:val="hr-HR"/>
        </w:rPr>
        <w:t>„</w:t>
      </w:r>
      <w:r w:rsidR="00B238FA" w:rsidRPr="00D7143A">
        <w:rPr>
          <w:rFonts w:eastAsiaTheme="minorHAnsi" w:cstheme="minorHAnsi"/>
          <w:lang w:val="hr-HR"/>
        </w:rPr>
        <w:t>Program 1024 Održavanje objekata i uređaja komunalne infrastrukture, Aktivnost A100002 Održavanje nerazvrstanih cesta</w:t>
      </w:r>
      <w:r w:rsidR="005B577C">
        <w:rPr>
          <w:rFonts w:eastAsiaTheme="minorHAnsi" w:cstheme="minorHAnsi"/>
          <w:lang w:val="hr-HR"/>
        </w:rPr>
        <w:t>“</w:t>
      </w:r>
      <w:r w:rsidR="00B238FA">
        <w:rPr>
          <w:rFonts w:eastAsiaTheme="minorHAnsi" w:cstheme="minorHAnsi"/>
          <w:lang w:val="hr-HR"/>
        </w:rPr>
        <w:t>.</w:t>
      </w:r>
      <w:r w:rsidR="003C2116" w:rsidRPr="004242E8">
        <w:rPr>
          <w:rFonts w:eastAsiaTheme="minorHAnsi" w:cstheme="minorHAnsi"/>
          <w:lang w:val="hr-HR"/>
        </w:rPr>
        <w:t xml:space="preserve"> </w:t>
      </w:r>
    </w:p>
    <w:p w14:paraId="79D7C427" w14:textId="236515B7" w:rsidR="003D48D9" w:rsidRPr="004242E8" w:rsidRDefault="003C2116" w:rsidP="003A7D94">
      <w:pPr>
        <w:ind w:firstLine="708"/>
        <w:jc w:val="both"/>
        <w:rPr>
          <w:rFonts w:eastAsiaTheme="minorHAnsi" w:cstheme="minorHAnsi"/>
          <w:lang w:val="hr-HR"/>
        </w:rPr>
      </w:pPr>
      <w:r w:rsidRPr="004242E8">
        <w:rPr>
          <w:rFonts w:eastAsiaTheme="minorHAnsi" w:cstheme="minorHAnsi"/>
          <w:lang w:val="hr-HR"/>
        </w:rPr>
        <w:t xml:space="preserve">Planirana sredstva za </w:t>
      </w:r>
      <w:r w:rsidR="005B577C">
        <w:rPr>
          <w:rFonts w:eastAsiaTheme="minorHAnsi" w:cstheme="minorHAnsi"/>
          <w:lang w:val="hr-HR"/>
        </w:rPr>
        <w:t>ovu aktivnost u 2026</w:t>
      </w:r>
      <w:r w:rsidRPr="004242E8">
        <w:rPr>
          <w:rFonts w:eastAsiaTheme="minorHAnsi" w:cstheme="minorHAnsi"/>
          <w:lang w:val="hr-HR"/>
        </w:rPr>
        <w:t xml:space="preserve">. godini iznose </w:t>
      </w:r>
      <w:r w:rsidR="00B238FA">
        <w:rPr>
          <w:rFonts w:eastAsiaTheme="minorHAnsi" w:cstheme="minorHAnsi"/>
          <w:lang w:val="hr-HR"/>
        </w:rPr>
        <w:t>251.000</w:t>
      </w:r>
      <w:r w:rsidRPr="004242E8">
        <w:rPr>
          <w:rFonts w:eastAsiaTheme="minorHAnsi" w:cstheme="minorHAnsi"/>
          <w:lang w:val="hr-HR"/>
        </w:rPr>
        <w:t>,00 eura.</w:t>
      </w:r>
    </w:p>
    <w:p w14:paraId="2227B509" w14:textId="77777777" w:rsidR="0032300C" w:rsidRPr="004242E8" w:rsidRDefault="0032300C" w:rsidP="003A7D94">
      <w:pPr>
        <w:jc w:val="both"/>
        <w:rPr>
          <w:rFonts w:asciiTheme="majorHAnsi" w:eastAsia="Calibri" w:hAnsiTheme="majorHAnsi" w:cstheme="majorHAnsi"/>
          <w:lang w:val="hr-HR"/>
        </w:rPr>
      </w:pPr>
      <w:r w:rsidRPr="004242E8">
        <w:rPr>
          <w:rFonts w:asciiTheme="majorHAnsi" w:eastAsia="Calibri" w:hAnsiTheme="majorHAnsi" w:cstheme="majorHAnsi"/>
          <w:lang w:val="hr-HR"/>
        </w:rPr>
        <w:tab/>
      </w:r>
    </w:p>
    <w:p w14:paraId="6858D131" w14:textId="77777777" w:rsidR="0032300C" w:rsidRPr="0036101A" w:rsidRDefault="0032300C" w:rsidP="003A7D94">
      <w:pPr>
        <w:jc w:val="both"/>
        <w:rPr>
          <w:rFonts w:asciiTheme="majorHAnsi" w:eastAsia="Calibri" w:hAnsiTheme="majorHAnsi" w:cstheme="majorHAnsi"/>
          <w:color w:val="0070C0"/>
          <w:lang w:val="hr-HR"/>
        </w:rPr>
      </w:pPr>
    </w:p>
    <w:p w14:paraId="325E241C" w14:textId="77777777" w:rsidR="0032300C" w:rsidRPr="00855E95" w:rsidRDefault="0032300C" w:rsidP="003A7D94">
      <w:pPr>
        <w:jc w:val="both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36101A">
        <w:rPr>
          <w:rFonts w:asciiTheme="majorHAnsi" w:eastAsia="Calibri" w:hAnsiTheme="majorHAnsi" w:cstheme="majorHAnsi"/>
          <w:color w:val="0070C0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>Pročelnik:</w:t>
      </w:r>
    </w:p>
    <w:p w14:paraId="3AEEAF91" w14:textId="77777777" w:rsidR="003D48D9" w:rsidRPr="00855E95" w:rsidRDefault="003D48D9" w:rsidP="003A7D94">
      <w:pPr>
        <w:jc w:val="both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</w:p>
    <w:p w14:paraId="609C21CF" w14:textId="77777777" w:rsidR="0032300C" w:rsidRPr="00855E95" w:rsidRDefault="0032300C" w:rsidP="003A7D94">
      <w:pPr>
        <w:jc w:val="both"/>
        <w:rPr>
          <w:rFonts w:asciiTheme="majorHAnsi" w:eastAsia="Calibri" w:hAnsiTheme="majorHAnsi" w:cstheme="majorHAnsi"/>
          <w:b/>
          <w:color w:val="000000" w:themeColor="text1"/>
          <w:lang w:val="hr-HR"/>
        </w:rPr>
      </w:pP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</w:r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ab/>
        <w:t xml:space="preserve">Mišo Tušek. </w:t>
      </w:r>
      <w:proofErr w:type="spellStart"/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>dipl.ing.geod</w:t>
      </w:r>
      <w:proofErr w:type="spellEnd"/>
      <w:r w:rsidRPr="00855E95">
        <w:rPr>
          <w:rFonts w:asciiTheme="majorHAnsi" w:eastAsia="Calibri" w:hAnsiTheme="majorHAnsi" w:cstheme="majorHAnsi"/>
          <w:b/>
          <w:color w:val="000000" w:themeColor="text1"/>
          <w:lang w:val="hr-HR"/>
        </w:rPr>
        <w:t>.</w:t>
      </w:r>
    </w:p>
    <w:sectPr w:rsidR="0032300C" w:rsidRPr="00855E95" w:rsidSect="0011407E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2B7" w14:textId="77777777" w:rsidR="00617D31" w:rsidRDefault="00617D31" w:rsidP="00617D31">
      <w:r>
        <w:separator/>
      </w:r>
    </w:p>
  </w:endnote>
  <w:endnote w:type="continuationSeparator" w:id="0">
    <w:p w14:paraId="00A7826E" w14:textId="77777777" w:rsidR="00617D31" w:rsidRDefault="00617D3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7A9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7A9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BAB5" w14:textId="77777777" w:rsidR="00617D31" w:rsidRDefault="00617D31" w:rsidP="00617D31">
      <w:r>
        <w:separator/>
      </w:r>
    </w:p>
  </w:footnote>
  <w:footnote w:type="continuationSeparator" w:id="0">
    <w:p w14:paraId="7179C3EA" w14:textId="77777777" w:rsidR="00617D31" w:rsidRDefault="00617D3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239C2"/>
    <w:rsid w:val="0011407E"/>
    <w:rsid w:val="001313AD"/>
    <w:rsid w:val="001935A3"/>
    <w:rsid w:val="001E05B5"/>
    <w:rsid w:val="001E5F0C"/>
    <w:rsid w:val="00215F29"/>
    <w:rsid w:val="00227C5D"/>
    <w:rsid w:val="0028344C"/>
    <w:rsid w:val="0032300C"/>
    <w:rsid w:val="0036101A"/>
    <w:rsid w:val="003A7D94"/>
    <w:rsid w:val="003C2116"/>
    <w:rsid w:val="003D48D9"/>
    <w:rsid w:val="003D5BD7"/>
    <w:rsid w:val="003E7DE5"/>
    <w:rsid w:val="00412F65"/>
    <w:rsid w:val="004242E8"/>
    <w:rsid w:val="00435623"/>
    <w:rsid w:val="00477E67"/>
    <w:rsid w:val="0052788F"/>
    <w:rsid w:val="00535126"/>
    <w:rsid w:val="005B577C"/>
    <w:rsid w:val="00617D31"/>
    <w:rsid w:val="0064481D"/>
    <w:rsid w:val="00655A84"/>
    <w:rsid w:val="006D5E4C"/>
    <w:rsid w:val="006F1B15"/>
    <w:rsid w:val="00743FE7"/>
    <w:rsid w:val="007F577A"/>
    <w:rsid w:val="00855E95"/>
    <w:rsid w:val="008814B0"/>
    <w:rsid w:val="008E2136"/>
    <w:rsid w:val="0094437F"/>
    <w:rsid w:val="00950442"/>
    <w:rsid w:val="00957A96"/>
    <w:rsid w:val="00A05948"/>
    <w:rsid w:val="00A40EEA"/>
    <w:rsid w:val="00A42F3D"/>
    <w:rsid w:val="00AA6789"/>
    <w:rsid w:val="00B238FA"/>
    <w:rsid w:val="00B24815"/>
    <w:rsid w:val="00BC13A1"/>
    <w:rsid w:val="00C32881"/>
    <w:rsid w:val="00C35C6A"/>
    <w:rsid w:val="00C8305E"/>
    <w:rsid w:val="00D23265"/>
    <w:rsid w:val="00D55935"/>
    <w:rsid w:val="00EA1282"/>
    <w:rsid w:val="00EE309E"/>
    <w:rsid w:val="00F71B39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221511B"/>
  <w14:defaultImageDpi w14:val="300"/>
  <w15:docId w15:val="{4DC7FA2D-85D3-4D3C-B545-0B4DC52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32300C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B5A96-8FEB-44E7-A573-14423276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Mišo Tušek</cp:lastModifiedBy>
  <cp:revision>7</cp:revision>
  <cp:lastPrinted>2025-11-17T09:04:00Z</cp:lastPrinted>
  <dcterms:created xsi:type="dcterms:W3CDTF">2025-11-17T09:00:00Z</dcterms:created>
  <dcterms:modified xsi:type="dcterms:W3CDTF">2025-11-19T09:17:00Z</dcterms:modified>
</cp:coreProperties>
</file>